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B5" w:rsidRPr="0073543F" w:rsidRDefault="000C01B5" w:rsidP="0073543F">
      <w:pPr>
        <w:shd w:val="clear" w:color="auto" w:fill="E5E5E5"/>
        <w:spacing w:after="150" w:line="240" w:lineRule="auto"/>
        <w:outlineLvl w:val="1"/>
        <w:rPr>
          <w:rFonts w:ascii="Verdana" w:hAnsi="Verdana" w:cs="Verdana"/>
          <w:b/>
          <w:bCs/>
          <w:color w:val="103550"/>
          <w:sz w:val="24"/>
          <w:szCs w:val="24"/>
        </w:rPr>
      </w:pPr>
      <w:r w:rsidRPr="0073543F">
        <w:rPr>
          <w:rFonts w:ascii="Verdana" w:hAnsi="Verdana" w:cs="Verdana"/>
          <w:b/>
          <w:bCs/>
          <w:color w:val="103550"/>
          <w:sz w:val="24"/>
          <w:szCs w:val="24"/>
        </w:rPr>
        <w:t>Порядок обжалования нормативных правовых актов и иных решений</w:t>
      </w:r>
    </w:p>
    <w:p w:rsidR="000C01B5" w:rsidRPr="0073543F" w:rsidRDefault="000C01B5" w:rsidP="0073543F">
      <w:pPr>
        <w:shd w:val="clear" w:color="auto" w:fill="FFFFFF"/>
        <w:spacing w:before="100" w:beforeAutospacing="1" w:after="100" w:afterAutospacing="1" w:line="240" w:lineRule="auto"/>
        <w:jc w:val="center"/>
        <w:outlineLvl w:val="1"/>
        <w:rPr>
          <w:rFonts w:ascii="Verdana" w:hAnsi="Verdana" w:cs="Verdana"/>
          <w:color w:val="445566"/>
          <w:sz w:val="20"/>
          <w:szCs w:val="20"/>
        </w:rPr>
      </w:pPr>
      <w:r w:rsidRPr="0073543F">
        <w:rPr>
          <w:rFonts w:ascii="Verdana" w:hAnsi="Verdana" w:cs="Verdana"/>
          <w:color w:val="445566"/>
          <w:sz w:val="20"/>
          <w:szCs w:val="20"/>
        </w:rPr>
        <w:t>Порядок обжалования</w:t>
      </w:r>
    </w:p>
    <w:p w:rsidR="000C01B5" w:rsidRPr="0073543F" w:rsidRDefault="000C01B5" w:rsidP="0073543F">
      <w:pPr>
        <w:shd w:val="clear" w:color="auto" w:fill="FFFFFF"/>
        <w:spacing w:before="100" w:beforeAutospacing="1" w:after="100" w:afterAutospacing="1" w:line="240" w:lineRule="auto"/>
        <w:jc w:val="center"/>
        <w:outlineLvl w:val="1"/>
        <w:rPr>
          <w:rFonts w:ascii="Verdana" w:hAnsi="Verdana" w:cs="Verdana"/>
          <w:color w:val="445566"/>
          <w:sz w:val="20"/>
          <w:szCs w:val="20"/>
        </w:rPr>
      </w:pPr>
      <w:r w:rsidRPr="0073543F">
        <w:rPr>
          <w:rFonts w:ascii="Verdana" w:hAnsi="Verdana" w:cs="Verdana"/>
          <w:color w:val="445566"/>
          <w:sz w:val="20"/>
          <w:szCs w:val="20"/>
        </w:rPr>
        <w:t>Разъяснения по порядку обжалования нормативных правовых актов и иных решений.</w:t>
      </w:r>
      <w:r w:rsidRPr="0073543F">
        <w:rPr>
          <w:rFonts w:ascii="Verdana" w:hAnsi="Verdana" w:cs="Verdana"/>
          <w:color w:val="445566"/>
          <w:sz w:val="20"/>
          <w:szCs w:val="20"/>
        </w:rPr>
        <w:br/>
        <w:t>Подпункт "е" п.2 ч.1 ст.13 Федеральный закон от 09.02.2009 N 8-ФЗ</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"Об обеспечении доступа к информации о деятельности государственных органов и органов местного самоуправления" предусматривает необходимость предоставления информации, регулирующей порядок обжалования нормативных правовых актов и иных решений, принятых государственным органом, его территориальными органами и органами местного самоуправления.</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Согласно п.9 постановления Пленума Верховного Суда РФ от 29.11.2007 N 48» О практике рассмотрения судами дел об оспаривании нормативных правовых актов полностью или в части":</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«Существенными признаками, характеризующими нормативный правовой акт, являются: издание его в установленном порядке управомоченным органом государственной власти, органом местного самоуправления или должностным лицом, наличие в нем правовых норм (правил поведения),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Правила обжалования нормативных правовых актов в гражданском судопроизводстве закреплены в главе 24 Гражданского процессуального кодекса РФ (далее ГПК РФ) "Производство по делам о признании недействующими нормативных правовых актов полностью или в части". Согласно ч.1 ст.251 ГПК РФ «Гражданин, организация, считающие, что принятым и опубликованным в установленном порядке нормативным правовым актом органа государственной власти, органа местного самоуправления или должностного лица нарушаются их права и свободы, гарантированные Конституцией Российской Федерации, законами и другими нормативными правовыми актами, а также прокурор в пределах своей компетенции вправе обратиться в суд с заявлением о признании этого акта противоречащим закону полностью или в части». Подсудность рассмотрения дел об оспаривании нормативных правовых актов в порядке гражданского судопроизводства определяется в соответствии со ст.ст.24. 26. 27 ГПК РФ</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Правила обжалования нормативных правовых актов в арбитражном судопроизводстве закреплены в главе 22, 23 Арбитражного процессуального кодекса РФ (далее АПК РФ). Согласно ч.1 ст.192 АПК РФ: «Граждане, организации и иные лица вправе обратиться в арбитражный суд с заявлением о признании недействующим нормативного правового акта, принятого государственным органом, органом местного самоуправления, иным органом, должностным лицом,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или создают иные препятствия для осуществления предпринимательской и иной экономической деятельности».</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Подсудность рассмотрения дел об оспаривании дел об оспаривании нормативных правовых актов в порядке арбитражного судопроизводства предусмотрена параграфом 2 раздела 4 АПК РФ.</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Не подлежат рассмотрению в суде в порядке, предусмотренном ГПК РФ, заявления об оспаривании нормативных правовых актов, проверка конституционности которых отнесена к исключительной компетенции Конституционного Суда Российской Федерации. Часть 2 статьи 125 Конституции Российской Федерации закрепляет, что Конституционный Суд РФ разрешает дела о соответствии Конституции РФ: федеральных законов, нормативных актов Президента РФ, Совета Федерации, Государственной Думы, Правительства РФ,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не вступивших в силу международных договоров Российской Федерации.</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Порядок рассмотрения дел Конституционным Судом РФ предусмотрен Федеральным конституционным законом от 21.07.1994 N 1-ФКЗ "О Конституционном Суде Российской Федерации".</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Порядок оспаривании решения, действия (бездействия) органа государственной власти, органа местного самоуправления, должностного лица, государственного или муниципального служащего предусмотрен главой 25 ГПК РФ.</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В соответствии со ст.254 ГПК РФ:</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государственной власти, орган местного самоуправления, к должностному лицу, государственному или муниципальному служащему.</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Заявление подается в суд по подсудности, установленной статьями 24 – 27 ГПК РФ. Заявление может быть подано гражданином в суд по месту его жительства или по месту нахождения органа государственной власти, органа местного самоуправления, должностного лица, государственного или муниципального служащего, решение, действие (бездействие) которых оспариваются».</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(далее - органы, осуществляющие публичные полномочия), должностных лиц, в том числе судебных приставов - исполнителей, рассматриваются арбитражным судом по общим правилам искового производства, предусмотренным АПК РФ, с особенностями, установленными в главе 24 АПК РФ.</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Согласно ч.1 ст.198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0C01B5" w:rsidRPr="0073543F" w:rsidRDefault="000C01B5" w:rsidP="0073543F">
      <w:pPr>
        <w:shd w:val="clear" w:color="auto" w:fill="FFFFFF"/>
        <w:spacing w:before="100" w:beforeAutospacing="1" w:after="100" w:afterAutospacing="1" w:line="240" w:lineRule="auto"/>
        <w:rPr>
          <w:rFonts w:ascii="Verdana" w:hAnsi="Verdana" w:cs="Verdana"/>
          <w:sz w:val="16"/>
          <w:szCs w:val="16"/>
        </w:rPr>
      </w:pPr>
      <w:r w:rsidRPr="0073543F">
        <w:rPr>
          <w:rFonts w:ascii="Verdana" w:hAnsi="Verdana" w:cs="Verdana"/>
          <w:sz w:val="16"/>
          <w:szCs w:val="16"/>
        </w:rPr>
        <w:t>Правила подсудности рассмотрения дел об оспаривании ненормативных правовых актов, решений и действий (бездействия) органов и должностных лиц в порядке арбитражного судопроизводства определены в параграфе 2 раздела 4 АПК РФ,</w:t>
      </w:r>
    </w:p>
    <w:p w:rsidR="000C01B5" w:rsidRPr="0073543F" w:rsidRDefault="000C01B5" w:rsidP="0073543F">
      <w:pPr>
        <w:shd w:val="clear" w:color="auto" w:fill="FFFFFF"/>
        <w:spacing w:after="0" w:line="240" w:lineRule="auto"/>
        <w:rPr>
          <w:rFonts w:ascii="Verdana" w:hAnsi="Verdana" w:cs="Verdana"/>
          <w:sz w:val="16"/>
          <w:szCs w:val="16"/>
        </w:rPr>
      </w:pPr>
      <w:r w:rsidRPr="0073543F">
        <w:rPr>
          <w:rFonts w:ascii="Verdana" w:hAnsi="Verdana" w:cs="Verdana"/>
          <w:sz w:val="16"/>
          <w:szCs w:val="16"/>
        </w:rPr>
        <w:t xml:space="preserve">  </w:t>
      </w:r>
    </w:p>
    <w:p w:rsidR="000C01B5" w:rsidRPr="0073543F" w:rsidRDefault="000C01B5" w:rsidP="0073543F">
      <w:pPr>
        <w:shd w:val="clear" w:color="auto" w:fill="8899AA"/>
        <w:spacing w:after="75" w:line="240" w:lineRule="auto"/>
        <w:jc w:val="center"/>
        <w:rPr>
          <w:rFonts w:ascii="Verdana" w:hAnsi="Verdana" w:cs="Verdana"/>
          <w:sz w:val="16"/>
          <w:szCs w:val="16"/>
        </w:rPr>
      </w:pPr>
    </w:p>
    <w:p w:rsidR="000C01B5" w:rsidRPr="0073543F" w:rsidRDefault="000C01B5" w:rsidP="0073543F">
      <w:pPr>
        <w:shd w:val="clear" w:color="auto" w:fill="8899AA"/>
        <w:spacing w:before="30" w:after="90" w:line="240" w:lineRule="auto"/>
        <w:jc w:val="center"/>
        <w:rPr>
          <w:rFonts w:ascii="Verdana" w:hAnsi="Verdana" w:cs="Verdana"/>
          <w:color w:val="FFFFFF"/>
          <w:sz w:val="20"/>
          <w:szCs w:val="20"/>
        </w:rPr>
      </w:pPr>
      <w:r w:rsidRPr="0073543F">
        <w:rPr>
          <w:rFonts w:ascii="Verdana" w:hAnsi="Verdana" w:cs="Verdana"/>
          <w:color w:val="FFFFFF"/>
          <w:sz w:val="20"/>
          <w:szCs w:val="20"/>
        </w:rPr>
        <w:t>Co</w:t>
      </w:r>
    </w:p>
    <w:p w:rsidR="000C01B5" w:rsidRDefault="000C01B5"/>
    <w:sectPr w:rsidR="000C01B5" w:rsidSect="007D04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543F"/>
    <w:rsid w:val="000C01B5"/>
    <w:rsid w:val="0035664C"/>
    <w:rsid w:val="00554016"/>
    <w:rsid w:val="006650B9"/>
    <w:rsid w:val="0073543F"/>
    <w:rsid w:val="007D04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47"/>
    <w:pPr>
      <w:spacing w:after="200" w:line="276" w:lineRule="auto"/>
    </w:pPr>
    <w:rPr>
      <w:rFonts w:cs="Calibri"/>
    </w:rPr>
  </w:style>
  <w:style w:type="paragraph" w:styleId="Heading2">
    <w:name w:val="heading 2"/>
    <w:basedOn w:val="Normal"/>
    <w:link w:val="Heading2Char"/>
    <w:uiPriority w:val="99"/>
    <w:qFormat/>
    <w:rsid w:val="0073543F"/>
    <w:pPr>
      <w:spacing w:before="100" w:beforeAutospacing="1" w:after="100" w:afterAutospacing="1" w:line="240" w:lineRule="auto"/>
      <w:outlineLvl w:val="1"/>
    </w:pPr>
    <w:rPr>
      <w:rFonts w:ascii="Verdana" w:hAnsi="Verdana" w:cs="Verdana"/>
      <w:color w:val="445566"/>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3543F"/>
    <w:rPr>
      <w:rFonts w:ascii="Verdana" w:hAnsi="Verdana" w:cs="Verdana"/>
      <w:color w:val="445566"/>
      <w:sz w:val="20"/>
      <w:szCs w:val="20"/>
    </w:rPr>
  </w:style>
  <w:style w:type="paragraph" w:styleId="NormalWeb">
    <w:name w:val="Normal (Web)"/>
    <w:basedOn w:val="Normal"/>
    <w:uiPriority w:val="99"/>
    <w:semiHidden/>
    <w:rsid w:val="0073543F"/>
    <w:pPr>
      <w:spacing w:before="100" w:beforeAutospacing="1" w:after="100" w:afterAutospacing="1" w:line="240" w:lineRule="auto"/>
    </w:pPr>
    <w:rPr>
      <w:rFonts w:cs="Times New Roman"/>
      <w:sz w:val="24"/>
      <w:szCs w:val="24"/>
    </w:rPr>
  </w:style>
  <w:style w:type="character" w:customStyle="1" w:styleId="art-postheader">
    <w:name w:val="art-postheader"/>
    <w:basedOn w:val="DefaultParagraphFont"/>
    <w:uiPriority w:val="99"/>
    <w:rsid w:val="0073543F"/>
  </w:style>
  <w:style w:type="character" w:customStyle="1" w:styleId="articleseparator">
    <w:name w:val="article_separator"/>
    <w:basedOn w:val="DefaultParagraphFont"/>
    <w:uiPriority w:val="99"/>
    <w:rsid w:val="0073543F"/>
  </w:style>
</w:styles>
</file>

<file path=word/webSettings.xml><?xml version="1.0" encoding="utf-8"?>
<w:webSettings xmlns:r="http://schemas.openxmlformats.org/officeDocument/2006/relationships" xmlns:w="http://schemas.openxmlformats.org/wordprocessingml/2006/main">
  <w:divs>
    <w:div w:id="1829203449">
      <w:marLeft w:val="0"/>
      <w:marRight w:val="0"/>
      <w:marTop w:val="0"/>
      <w:marBottom w:val="0"/>
      <w:divBdr>
        <w:top w:val="none" w:sz="0" w:space="0" w:color="auto"/>
        <w:left w:val="none" w:sz="0" w:space="0" w:color="auto"/>
        <w:bottom w:val="none" w:sz="0" w:space="0" w:color="auto"/>
        <w:right w:val="none" w:sz="0" w:space="0" w:color="auto"/>
      </w:divBdr>
      <w:divsChild>
        <w:div w:id="1829203445">
          <w:marLeft w:val="0"/>
          <w:marRight w:val="0"/>
          <w:marTop w:val="0"/>
          <w:marBottom w:val="0"/>
          <w:divBdr>
            <w:top w:val="none" w:sz="0" w:space="0" w:color="auto"/>
            <w:left w:val="none" w:sz="0" w:space="0" w:color="auto"/>
            <w:bottom w:val="none" w:sz="0" w:space="0" w:color="auto"/>
            <w:right w:val="none" w:sz="0" w:space="0" w:color="auto"/>
          </w:divBdr>
          <w:divsChild>
            <w:div w:id="1829203447">
              <w:marLeft w:val="0"/>
              <w:marRight w:val="0"/>
              <w:marTop w:val="150"/>
              <w:marBottom w:val="0"/>
              <w:divBdr>
                <w:top w:val="none" w:sz="0" w:space="0" w:color="auto"/>
                <w:left w:val="none" w:sz="0" w:space="0" w:color="auto"/>
                <w:bottom w:val="none" w:sz="0" w:space="0" w:color="auto"/>
                <w:right w:val="none" w:sz="0" w:space="0" w:color="auto"/>
              </w:divBdr>
              <w:divsChild>
                <w:div w:id="1829203460">
                  <w:marLeft w:val="0"/>
                  <w:marRight w:val="0"/>
                  <w:marTop w:val="0"/>
                  <w:marBottom w:val="0"/>
                  <w:divBdr>
                    <w:top w:val="none" w:sz="0" w:space="0" w:color="auto"/>
                    <w:left w:val="none" w:sz="0" w:space="0" w:color="auto"/>
                    <w:bottom w:val="none" w:sz="0" w:space="0" w:color="auto"/>
                    <w:right w:val="none" w:sz="0" w:space="0" w:color="auto"/>
                  </w:divBdr>
                  <w:divsChild>
                    <w:div w:id="1829203459">
                      <w:marLeft w:val="0"/>
                      <w:marRight w:val="0"/>
                      <w:marTop w:val="0"/>
                      <w:marBottom w:val="0"/>
                      <w:divBdr>
                        <w:top w:val="none" w:sz="0" w:space="0" w:color="auto"/>
                        <w:left w:val="none" w:sz="0" w:space="0" w:color="auto"/>
                        <w:bottom w:val="none" w:sz="0" w:space="0" w:color="auto"/>
                        <w:right w:val="none" w:sz="0" w:space="0" w:color="auto"/>
                      </w:divBdr>
                      <w:divsChild>
                        <w:div w:id="1829203444">
                          <w:marLeft w:val="0"/>
                          <w:marRight w:val="0"/>
                          <w:marTop w:val="0"/>
                          <w:marBottom w:val="0"/>
                          <w:divBdr>
                            <w:top w:val="none" w:sz="0" w:space="0" w:color="auto"/>
                            <w:left w:val="none" w:sz="0" w:space="0" w:color="auto"/>
                            <w:bottom w:val="none" w:sz="0" w:space="0" w:color="auto"/>
                            <w:right w:val="none" w:sz="0" w:space="0" w:color="auto"/>
                          </w:divBdr>
                          <w:divsChild>
                            <w:div w:id="1829203454">
                              <w:marLeft w:val="0"/>
                              <w:marRight w:val="0"/>
                              <w:marTop w:val="0"/>
                              <w:marBottom w:val="0"/>
                              <w:divBdr>
                                <w:top w:val="none" w:sz="0" w:space="0" w:color="auto"/>
                                <w:left w:val="none" w:sz="0" w:space="0" w:color="auto"/>
                                <w:bottom w:val="none" w:sz="0" w:space="0" w:color="auto"/>
                                <w:right w:val="none" w:sz="0" w:space="0" w:color="auto"/>
                              </w:divBdr>
                              <w:divsChild>
                                <w:div w:id="1829203458">
                                  <w:marLeft w:val="0"/>
                                  <w:marRight w:val="0"/>
                                  <w:marTop w:val="0"/>
                                  <w:marBottom w:val="0"/>
                                  <w:divBdr>
                                    <w:top w:val="none" w:sz="0" w:space="0" w:color="auto"/>
                                    <w:left w:val="none" w:sz="0" w:space="0" w:color="auto"/>
                                    <w:bottom w:val="none" w:sz="0" w:space="0" w:color="auto"/>
                                    <w:right w:val="none" w:sz="0" w:space="0" w:color="auto"/>
                                  </w:divBdr>
                                  <w:divsChild>
                                    <w:div w:id="1829203456">
                                      <w:marLeft w:val="0"/>
                                      <w:marRight w:val="0"/>
                                      <w:marTop w:val="0"/>
                                      <w:marBottom w:val="0"/>
                                      <w:divBdr>
                                        <w:top w:val="none" w:sz="0" w:space="0" w:color="auto"/>
                                        <w:left w:val="none" w:sz="0" w:space="0" w:color="auto"/>
                                        <w:bottom w:val="none" w:sz="0" w:space="0" w:color="auto"/>
                                        <w:right w:val="none" w:sz="0" w:space="0" w:color="auto"/>
                                      </w:divBdr>
                                      <w:divsChild>
                                        <w:div w:id="1829203462">
                                          <w:marLeft w:val="0"/>
                                          <w:marRight w:val="0"/>
                                          <w:marTop w:val="0"/>
                                          <w:marBottom w:val="0"/>
                                          <w:divBdr>
                                            <w:top w:val="none" w:sz="0" w:space="0" w:color="auto"/>
                                            <w:left w:val="none" w:sz="0" w:space="0" w:color="auto"/>
                                            <w:bottom w:val="none" w:sz="0" w:space="0" w:color="auto"/>
                                            <w:right w:val="none" w:sz="0" w:space="0" w:color="auto"/>
                                          </w:divBdr>
                                          <w:divsChild>
                                            <w:div w:id="1829203448">
                                              <w:marLeft w:val="0"/>
                                              <w:marRight w:val="0"/>
                                              <w:marTop w:val="0"/>
                                              <w:marBottom w:val="0"/>
                                              <w:divBdr>
                                                <w:top w:val="none" w:sz="0" w:space="0" w:color="auto"/>
                                                <w:left w:val="none" w:sz="0" w:space="0" w:color="auto"/>
                                                <w:bottom w:val="none" w:sz="0" w:space="0" w:color="auto"/>
                                                <w:right w:val="none" w:sz="0" w:space="0" w:color="auto"/>
                                              </w:divBdr>
                                              <w:divsChild>
                                                <w:div w:id="1829203461">
                                                  <w:marLeft w:val="0"/>
                                                  <w:marRight w:val="0"/>
                                                  <w:marTop w:val="0"/>
                                                  <w:marBottom w:val="0"/>
                                                  <w:divBdr>
                                                    <w:top w:val="none" w:sz="0" w:space="0" w:color="auto"/>
                                                    <w:left w:val="none" w:sz="0" w:space="0" w:color="auto"/>
                                                    <w:bottom w:val="none" w:sz="0" w:space="0" w:color="auto"/>
                                                    <w:right w:val="none" w:sz="0" w:space="0" w:color="auto"/>
                                                  </w:divBdr>
                                                  <w:divsChild>
                                                    <w:div w:id="1829203457">
                                                      <w:marLeft w:val="0"/>
                                                      <w:marRight w:val="0"/>
                                                      <w:marTop w:val="0"/>
                                                      <w:marBottom w:val="0"/>
                                                      <w:divBdr>
                                                        <w:top w:val="none" w:sz="0" w:space="0" w:color="auto"/>
                                                        <w:left w:val="none" w:sz="0" w:space="0" w:color="auto"/>
                                                        <w:bottom w:val="none" w:sz="0" w:space="0" w:color="auto"/>
                                                        <w:right w:val="none" w:sz="0" w:space="0" w:color="auto"/>
                                                      </w:divBdr>
                                                      <w:divsChild>
                                                        <w:div w:id="1829203446">
                                                          <w:marLeft w:val="0"/>
                                                          <w:marRight w:val="0"/>
                                                          <w:marTop w:val="0"/>
                                                          <w:marBottom w:val="0"/>
                                                          <w:divBdr>
                                                            <w:top w:val="none" w:sz="0" w:space="0" w:color="auto"/>
                                                            <w:left w:val="none" w:sz="0" w:space="0" w:color="auto"/>
                                                            <w:bottom w:val="none" w:sz="0" w:space="0" w:color="auto"/>
                                                            <w:right w:val="none" w:sz="0" w:space="0" w:color="auto"/>
                                                          </w:divBdr>
                                                          <w:divsChild>
                                                            <w:div w:id="1829203452">
                                                              <w:marLeft w:val="0"/>
                                                              <w:marRight w:val="0"/>
                                                              <w:marTop w:val="0"/>
                                                              <w:marBottom w:val="0"/>
                                                              <w:divBdr>
                                                                <w:top w:val="none" w:sz="0" w:space="0" w:color="auto"/>
                                                                <w:left w:val="none" w:sz="0" w:space="0" w:color="auto"/>
                                                                <w:bottom w:val="none" w:sz="0" w:space="0" w:color="auto"/>
                                                                <w:right w:val="none" w:sz="0" w:space="0" w:color="auto"/>
                                                              </w:divBdr>
                                                              <w:divsChild>
                                                                <w:div w:id="1829203453">
                                                                  <w:marLeft w:val="0"/>
                                                                  <w:marRight w:val="0"/>
                                                                  <w:marTop w:val="0"/>
                                                                  <w:marBottom w:val="0"/>
                                                                  <w:divBdr>
                                                                    <w:top w:val="none" w:sz="0" w:space="0" w:color="auto"/>
                                                                    <w:left w:val="none" w:sz="0" w:space="0" w:color="auto"/>
                                                                    <w:bottom w:val="none" w:sz="0" w:space="0" w:color="auto"/>
                                                                    <w:right w:val="none" w:sz="0" w:space="0" w:color="auto"/>
                                                                  </w:divBdr>
                                                                </w:div>
                                                              </w:divsChild>
                                                            </w:div>
                                                            <w:div w:id="1829203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203451">
              <w:marLeft w:val="150"/>
              <w:marRight w:val="150"/>
              <w:marTop w:val="0"/>
              <w:marBottom w:val="0"/>
              <w:divBdr>
                <w:top w:val="none" w:sz="0" w:space="0" w:color="auto"/>
                <w:left w:val="none" w:sz="0" w:space="0" w:color="auto"/>
                <w:bottom w:val="none" w:sz="0" w:space="0" w:color="auto"/>
                <w:right w:val="none" w:sz="0" w:space="0" w:color="auto"/>
              </w:divBdr>
              <w:divsChild>
                <w:div w:id="1829203450">
                  <w:marLeft w:val="0"/>
                  <w:marRight w:val="69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1061</Words>
  <Characters>6052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обжалования нормативных правовых актов и иных решений</dc:title>
  <dc:subject/>
  <dc:creator>user</dc:creator>
  <cp:keywords/>
  <dc:description/>
  <cp:lastModifiedBy>User</cp:lastModifiedBy>
  <cp:revision>2</cp:revision>
  <dcterms:created xsi:type="dcterms:W3CDTF">2014-02-24T10:28:00Z</dcterms:created>
  <dcterms:modified xsi:type="dcterms:W3CDTF">2014-02-24T10:28:00Z</dcterms:modified>
</cp:coreProperties>
</file>