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E7" w:rsidRDefault="00EC4DE7" w:rsidP="00EC4DE7">
      <w:pPr>
        <w:rPr>
          <w:b/>
          <w:sz w:val="24"/>
          <w:szCs w:val="24"/>
        </w:rPr>
      </w:pPr>
    </w:p>
    <w:p w:rsidR="00EC4DE7" w:rsidRDefault="00EC4DE7" w:rsidP="00EC4DE7">
      <w:pPr>
        <w:ind w:right="2928"/>
        <w:rPr>
          <w:sz w:val="32"/>
          <w:szCs w:val="28"/>
        </w:rPr>
      </w:pPr>
      <w:r>
        <w:t xml:space="preserve">                                                                             </w:t>
      </w:r>
      <w:r>
        <w:rPr>
          <w:noProof/>
          <w:sz w:val="32"/>
          <w:szCs w:val="28"/>
          <w:lang w:eastAsia="ru-RU"/>
        </w:rPr>
        <w:drawing>
          <wp:inline distT="0" distB="0" distL="0" distR="0">
            <wp:extent cx="1076325" cy="1266825"/>
            <wp:effectExtent l="19050" t="0" r="9525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DE7" w:rsidRPr="006304EC" w:rsidRDefault="00EC4DE7" w:rsidP="00EC4DE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 ЛЕЙПЦИГСКОГО СЕЛЬСКОГО ПОСЕЛЕНИЯ</w:t>
      </w:r>
    </w:p>
    <w:p w:rsidR="00EC4DE7" w:rsidRPr="006304EC" w:rsidRDefault="00EC4DE7" w:rsidP="00EC4DE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ВАРНЕНСКОГО МУНИЦИПАЛЬНОГО РАЙОНА</w:t>
      </w:r>
    </w:p>
    <w:p w:rsidR="00EC4DE7" w:rsidRPr="006304EC" w:rsidRDefault="00EC4DE7" w:rsidP="00EC4DE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ЧЕЛЯБИНСКОЙ ОБЛАСТИ</w:t>
      </w:r>
    </w:p>
    <w:p w:rsidR="00EC4DE7" w:rsidRPr="006304EC" w:rsidRDefault="00EC4DE7" w:rsidP="00EC4DE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C4DE7" w:rsidRPr="006304EC" w:rsidRDefault="00EC4DE7" w:rsidP="00EC4DE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04EC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EC4DE7" w:rsidRDefault="00EC4DE7" w:rsidP="00EC4DE7">
      <w:pPr>
        <w:jc w:val="center"/>
        <w:rPr>
          <w:sz w:val="28"/>
        </w:rPr>
      </w:pPr>
    </w:p>
    <w:p w:rsidR="00EC4DE7" w:rsidRPr="00655246" w:rsidRDefault="00EC4DE7" w:rsidP="00EC4DE7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5246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891ACE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655246">
        <w:rPr>
          <w:rFonts w:ascii="Times New Roman" w:hAnsi="Times New Roman" w:cs="Times New Roman"/>
          <w:sz w:val="28"/>
          <w:szCs w:val="28"/>
          <w:u w:val="single"/>
        </w:rPr>
        <w:t xml:space="preserve">  от </w:t>
      </w:r>
      <w:r w:rsidR="00891ACE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55246">
        <w:rPr>
          <w:rFonts w:ascii="Times New Roman" w:hAnsi="Times New Roman" w:cs="Times New Roman"/>
          <w:sz w:val="28"/>
          <w:szCs w:val="28"/>
          <w:u w:val="single"/>
        </w:rPr>
        <w:t>7.</w:t>
      </w:r>
      <w:r w:rsidR="00891ACE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655246">
        <w:rPr>
          <w:rFonts w:ascii="Times New Roman" w:hAnsi="Times New Roman" w:cs="Times New Roman"/>
          <w:sz w:val="28"/>
          <w:szCs w:val="28"/>
          <w:u w:val="single"/>
        </w:rPr>
        <w:t xml:space="preserve">.2019г.  </w:t>
      </w:r>
    </w:p>
    <w:p w:rsidR="00EC4DE7" w:rsidRPr="00EC4DE7" w:rsidRDefault="00EC4DE7" w:rsidP="00EC4DE7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5246">
        <w:rPr>
          <w:rFonts w:ascii="Times New Roman" w:hAnsi="Times New Roman" w:cs="Times New Roman"/>
          <w:sz w:val="28"/>
          <w:szCs w:val="28"/>
        </w:rPr>
        <w:t>С. Лейпци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EC4DE7" w:rsidRPr="00CB2439" w:rsidRDefault="00F3001A" w:rsidP="00EC4D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EC4DE7" w:rsidRPr="00CB24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 утверждении программ профилактики нарушений</w:t>
      </w:r>
    </w:p>
    <w:p w:rsidR="00CB2439" w:rsidRDefault="00CB2439" w:rsidP="00EC4D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обязательных требований </w:t>
      </w:r>
      <w:r w:rsidRPr="00EC4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сфере </w:t>
      </w:r>
      <w:r w:rsidR="00EC4DE7" w:rsidRPr="00EC4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контроля</w:t>
      </w:r>
    </w:p>
    <w:p w:rsidR="00EC4DE7" w:rsidRDefault="00EC4DE7" w:rsidP="00EC4D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4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B24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соблюдением правил благоустройства </w:t>
      </w:r>
      <w:r w:rsidRPr="00EC4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20</w:t>
      </w:r>
      <w:r w:rsidR="00891A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Pr="00EC4D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</w:t>
      </w:r>
      <w:r w:rsidR="00F30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EC4DE7" w:rsidRPr="00EC4DE7" w:rsidRDefault="00EC4DE7" w:rsidP="00EC4DE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4DE7">
        <w:rPr>
          <w:rFonts w:ascii="Tahoma" w:eastAsia="Times New Roman" w:hAnsi="Tahoma" w:cs="Tahoma"/>
          <w:color w:val="3B2D36"/>
          <w:lang w:eastAsia="ru-RU"/>
        </w:rPr>
        <w:t> </w:t>
      </w:r>
    </w:p>
    <w:p w:rsidR="00EC4DE7" w:rsidRPr="00EC4DE7" w:rsidRDefault="00891ACE" w:rsidP="00891ACE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     </w:t>
      </w:r>
      <w:proofErr w:type="gramStart"/>
      <w:r w:rsidR="00EC4DE7"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В соответствии</w:t>
      </w:r>
      <w:r w:rsidRPr="00891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требованиями части 2 п</w:t>
      </w:r>
      <w:r w:rsidRPr="006061C6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06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26 декабря 2018 г. № 1680 “Об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C4DE7"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</w:t>
      </w:r>
      <w:proofErr w:type="gramEnd"/>
      <w:r w:rsidR="00EC4DE7"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(надзора) и муниципального контроля», в целях предупреждения нарушений обязательных требований законодательства, устранения причин, факторов и условий, способствующих нарушениям обязательных требований законодательства,</w:t>
      </w: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Лейпцигского</w:t>
      </w: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сельского поселения</w:t>
      </w:r>
    </w:p>
    <w:p w:rsidR="00EC4DE7" w:rsidRPr="00891ACE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ПОСТАНОВЛЯЕТ:</w:t>
      </w:r>
    </w:p>
    <w:p w:rsidR="00EC4DE7" w:rsidRPr="00EC4DE7" w:rsidRDefault="00EC4DE7" w:rsidP="00EC4DE7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Утвердить прилагаемую Программу профилактики нарушений обязательных требований в сфере муниципального </w:t>
      </w:r>
      <w:proofErr w:type="gramStart"/>
      <w:r w:rsidRPr="00EC4DE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контроля</w:t>
      </w:r>
      <w:r w:rsidR="00CB2439" w:rsidRPr="00CB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4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CB2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правил благоустройства </w:t>
      </w:r>
      <w:r w:rsidR="00CB2439" w:rsidRPr="00EC4DE7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891ACE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CB2439" w:rsidRPr="00EC4DE7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Pr="00EC4DE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на территории Лейпцигского сельского поселения.</w:t>
      </w:r>
    </w:p>
    <w:p w:rsidR="00EC4DE7" w:rsidRPr="00EC4DE7" w:rsidRDefault="00EC4DE7" w:rsidP="00EC4DE7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</w:t>
      </w:r>
      <w:r w:rsidRPr="00EC4DE7">
        <w:rPr>
          <w:rFonts w:ascii="Times New Roman" w:hAnsi="Times New Roman" w:cs="Times New Roman"/>
          <w:color w:val="110C00"/>
          <w:sz w:val="28"/>
          <w:szCs w:val="28"/>
        </w:rPr>
        <w:t>Утвердить перечень нормативных правовых актов</w:t>
      </w:r>
      <w:r w:rsidRPr="00EC4DE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C4DE7">
        <w:rPr>
          <w:rFonts w:ascii="Times New Roman" w:hAnsi="Times New Roman" w:cs="Times New Roman"/>
          <w:sz w:val="28"/>
          <w:szCs w:val="28"/>
        </w:rPr>
        <w:t>устанавливающих обязательные требования, подлежащие проверке при проведении муниципального жилищного контроля</w:t>
      </w:r>
    </w:p>
    <w:p w:rsidR="00EC4DE7" w:rsidRPr="00EC4DE7" w:rsidRDefault="00EC4DE7" w:rsidP="00EC4DE7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lastRenderedPageBreak/>
        <w:t xml:space="preserve"> Разместить настоящее постановление на официальном сайте администрации Лейпцигского сельского поселения.</w:t>
      </w:r>
    </w:p>
    <w:p w:rsidR="00EC4DE7" w:rsidRPr="00EC4DE7" w:rsidRDefault="00EC4DE7" w:rsidP="00EC4DE7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Контроль за исполнением настоящего постановления оставляю за собой.</w:t>
      </w:r>
    </w:p>
    <w:p w:rsidR="00EC4DE7" w:rsidRPr="00EC4DE7" w:rsidRDefault="00EC4DE7" w:rsidP="00CB243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3B2D36"/>
          <w:lang w:eastAsia="ru-RU"/>
        </w:rPr>
      </w:pP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B2439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Глава  </w:t>
      </w:r>
      <w:r w:rsidR="00CB2439" w:rsidRPr="00CB2439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Лейпцигского сельского поселения</w:t>
      </w:r>
      <w:r w:rsidRPr="00CB2439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     </w:t>
      </w:r>
      <w:r w:rsidR="00F3001A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                      </w:t>
      </w:r>
      <w:r w:rsidR="00CB2439" w:rsidRPr="00CB2439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Э.Т.Пискунова</w:t>
      </w: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  <w:r w:rsidRPr="00EC4DE7">
        <w:rPr>
          <w:rFonts w:ascii="Tahoma" w:eastAsia="Times New Roman" w:hAnsi="Tahoma" w:cs="Tahoma"/>
          <w:b/>
          <w:bCs/>
          <w:color w:val="3B2D36"/>
          <w:lang w:eastAsia="ru-RU"/>
        </w:rPr>
        <w:t> </w:t>
      </w: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CB2439" w:rsidRDefault="00CB2439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891ACE" w:rsidRDefault="00891ACE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891ACE" w:rsidRDefault="00891ACE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891ACE" w:rsidRDefault="00891ACE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891ACE" w:rsidRDefault="00891ACE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891ACE" w:rsidRDefault="00891ACE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891ACE" w:rsidRDefault="00891ACE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891ACE" w:rsidRDefault="00891ACE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891ACE" w:rsidRDefault="00891ACE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891ACE" w:rsidRDefault="00891ACE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891ACE" w:rsidRDefault="00891ACE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2476C7" w:rsidRDefault="002476C7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2476C7" w:rsidRDefault="002476C7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891ACE" w:rsidRDefault="00891ACE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891ACE" w:rsidRDefault="00891ACE" w:rsidP="00EC4DE7">
      <w:pPr>
        <w:shd w:val="clear" w:color="auto" w:fill="F6F6F4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lang w:eastAsia="ru-RU"/>
        </w:rPr>
      </w:pPr>
    </w:p>
    <w:p w:rsidR="00EC4DE7" w:rsidRPr="00867BB5" w:rsidRDefault="00EC4DE7" w:rsidP="00CB24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7B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Утверждена</w:t>
      </w:r>
    </w:p>
    <w:p w:rsidR="00EC4DE7" w:rsidRPr="00867BB5" w:rsidRDefault="00EC4DE7" w:rsidP="00CB24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7B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постановлением Администрации</w:t>
      </w:r>
    </w:p>
    <w:p w:rsidR="00EC4DE7" w:rsidRPr="00F3001A" w:rsidRDefault="00EC4DE7" w:rsidP="00CB243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30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 w:rsidRPr="00CB24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0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91A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17.10</w:t>
      </w:r>
      <w:r w:rsidR="00F30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.2019</w:t>
      </w:r>
      <w:r w:rsidRPr="00F30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 № </w:t>
      </w:r>
      <w:r w:rsidR="00891A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</w:t>
      </w:r>
    </w:p>
    <w:p w:rsidR="00F3001A" w:rsidRDefault="00F3001A" w:rsidP="00F3001A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001A" w:rsidRDefault="00F3001A" w:rsidP="00F3001A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3001A" w:rsidRDefault="00F3001A" w:rsidP="00891ACE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C4DE7" w:rsidRPr="00867BB5" w:rsidRDefault="00EC4DE7" w:rsidP="00F3001A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67BB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Программа</w:t>
      </w:r>
    </w:p>
    <w:p w:rsidR="00EC4DE7" w:rsidRPr="00867BB5" w:rsidRDefault="00EC4DE7" w:rsidP="00F3001A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67BB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профилактики нарушений юридическими лицами, индивидуальными предпринимателями и гражданами обязательных требований</w:t>
      </w:r>
    </w:p>
    <w:p w:rsidR="00EC4DE7" w:rsidRPr="00891ACE" w:rsidRDefault="00EC4DE7" w:rsidP="00891AC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867BB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установленных</w:t>
      </w:r>
      <w:proofErr w:type="gramEnd"/>
      <w:r w:rsidRPr="00867BB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действующим законодательством в сфере благоустройства</w:t>
      </w: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3001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Раздел 1. Общие положения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proofErr w:type="gramStart"/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Настоящая программа разработана в целях организации проведения администрацией </w:t>
      </w:r>
      <w:r w:rsidRPr="00F3001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Лейпцигского</w:t>
      </w: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сельского поселения (далее – администрация) профилактики нарушений требований в сфере благоустройства, установленных законодательством Российской Федерации, муниципальными нормативно-правовыми актами </w:t>
      </w:r>
      <w:r w:rsidRPr="00F3001A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Лейпцигского</w:t>
      </w: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сельского поселения, в целях предупреждения возможного нарушения юридическими лицами, их руководителями, индивидуальными предпринимателями, гражданами (далее - подконтрольные субъекты) обязательных требований законодательства в сфере благоустройства и снижения рисков причинения ущерба охраняемым законом ценностям.</w:t>
      </w:r>
      <w:proofErr w:type="gramEnd"/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3001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Раздел 2. Цели программы</w:t>
      </w: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Целью программы является: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1) предупреждение нарушений подконтрольными субъектами требований законодательства в сфере благоустройства, включая устранение причин, факторов и условий, способствующих возможному нарушению обязательных требований;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2) создание мотивации к добросовестному поведению подконтрольных субъектов;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3) снижение уровня ущерба охраняемым законом ценностям.</w:t>
      </w:r>
    </w:p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3001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Раздел 3. Задачи программы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Задачами программы являются: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1) укрепление системы профилактики нарушений обязательных требований путем активизации профилактической деятельности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2) выявление причин, факторов и условий, способствующих нарушениям требований законодательства в сфере благоустройства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3) повышение правовой культуры подконтрольных субъектов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lastRenderedPageBreak/>
        <w:t>4) повышение прозрачности осуществляемой администрацией контрольной деятельности и формирование у всех участников контрольной деятельности единого понимания обязательных требований.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3001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Раздел 4. Принципы проведения профилактических мероприятий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Принципами проведения профилактических мероприятий являются: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1) Принцип информационной открытости и доступности для подконтрольных субъектов.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2) Принцип полноты охвата профилактическими мероприятиями подконтрольных субъектов.</w:t>
      </w:r>
    </w:p>
    <w:p w:rsidR="00EC4DE7" w:rsidRPr="00EC4DE7" w:rsidRDefault="00EC4DE7" w:rsidP="00F3001A">
      <w:pPr>
        <w:shd w:val="clear" w:color="auto" w:fill="F6F6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3001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Раздел 5. Мероприятия программы</w:t>
      </w:r>
    </w:p>
    <w:tbl>
      <w:tblPr>
        <w:tblW w:w="0" w:type="auto"/>
        <w:tblCellSpacing w:w="15" w:type="dxa"/>
        <w:shd w:val="clear" w:color="auto" w:fill="F6F6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8"/>
        <w:gridCol w:w="5955"/>
        <w:gridCol w:w="2682"/>
      </w:tblGrid>
      <w:tr w:rsidR="00EC4DE7" w:rsidRPr="00EC4DE7" w:rsidTr="00EC4DE7">
        <w:trPr>
          <w:tblCellSpacing w:w="15" w:type="dxa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/</w:t>
            </w:r>
            <w:proofErr w:type="spell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EC4DE7" w:rsidRPr="00EC4DE7" w:rsidTr="00EC4DE7">
        <w:trPr>
          <w:tblCellSpacing w:w="15" w:type="dxa"/>
        </w:trPr>
        <w:tc>
          <w:tcPr>
            <w:tcW w:w="783" w:type="dxa"/>
            <w:tcBorders>
              <w:left w:val="single" w:sz="4" w:space="0" w:color="auto"/>
              <w:bottom w:val="nil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установленные действующим законодательством в сфере благоустройства,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2637" w:type="dxa"/>
            <w:tcBorders>
              <w:bottom w:val="nil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EC4DE7" w:rsidRPr="00EC4DE7" w:rsidTr="00EC4DE7">
        <w:trPr>
          <w:tblCellSpacing w:w="15" w:type="dxa"/>
        </w:trPr>
        <w:tc>
          <w:tcPr>
            <w:tcW w:w="783" w:type="dxa"/>
            <w:tcBorders>
              <w:lef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proofErr w:type="gram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Осуществление информирование граждан, юридических лиц, индивидуальных предпринимателей по вопросам соблюдения обязательных требований, установленных действующим законодательством в сфере благоустройства, в том числе посредством опубликования в муниципальной газете «</w:t>
            </w:r>
            <w:proofErr w:type="spell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Новорахинские</w:t>
            </w:r>
            <w:proofErr w:type="spellEnd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вести» и размещения на официальном сайте Администрации </w:t>
            </w:r>
            <w:r w:rsidRPr="00F3001A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Лейпцигского</w:t>
            </w: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сельского поселения в информационно-телекоммуникационной сети «Интернет» руководств по соблюдению обязательных требований, а также проведения семинаров и конференций, разъяснительной работы в средствах массовой информации и иными</w:t>
            </w:r>
            <w:proofErr w:type="gramEnd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способами.</w:t>
            </w:r>
          </w:p>
        </w:tc>
        <w:tc>
          <w:tcPr>
            <w:tcW w:w="2637" w:type="dxa"/>
            <w:tcBorders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Органы (должностные лица), уполномоченные на осуществление данного вида муниципального контроля </w:t>
            </w:r>
            <w:proofErr w:type="gram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EC4DE7" w:rsidRPr="00EC4DE7" w:rsidTr="00EC4DE7">
        <w:trPr>
          <w:tblCellSpacing w:w="15" w:type="dxa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89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proofErr w:type="gram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В случаях изменения обязательных требований – подготовка и распространение информации о содержании новых нормативных правовых </w:t>
            </w: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 xml:space="preserve">актов, устанавливающих обязательные требования, установленные действующим законодательством в сфере благоустройства,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путем размещения на официальном сайте Администрации </w:t>
            </w:r>
            <w:r w:rsidRPr="00F3001A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Лейпцигского</w:t>
            </w:r>
            <w:proofErr w:type="gramEnd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сельского поселения в информационно-телекоммуникационной сети «Интернет».</w:t>
            </w:r>
          </w:p>
        </w:tc>
        <w:tc>
          <w:tcPr>
            <w:tcW w:w="2637" w:type="dxa"/>
            <w:tcBorders>
              <w:top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 xml:space="preserve">Органы (должностные лица), уполномоченные на </w:t>
            </w: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>осуществление данного вида муниципального контроля </w:t>
            </w:r>
          </w:p>
        </w:tc>
      </w:tr>
      <w:tr w:rsidR="00EC4DE7" w:rsidRPr="00EC4DE7" w:rsidTr="00EC4DE7">
        <w:trPr>
          <w:trHeight w:val="2681"/>
          <w:tblCellSpacing w:w="15" w:type="dxa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proofErr w:type="gram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Ежегодное обобщение практики осуществления муниципального контроля за соблюдением Правил благоустройства территории </w:t>
            </w:r>
            <w:r w:rsidRPr="00F3001A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Лейпцигского</w:t>
            </w: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сельского поселения и размещение на официальном сайте администрации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подконтрольными субъектами в целях недопущения таких нарушений.</w:t>
            </w:r>
            <w:proofErr w:type="gramEnd"/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EC4DE7" w:rsidRPr="00EC4DE7" w:rsidTr="00EC4DE7">
        <w:trPr>
          <w:tblCellSpacing w:w="15" w:type="dxa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F3001A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F3001A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F3001A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</w:p>
        </w:tc>
      </w:tr>
      <w:tr w:rsidR="00EC4DE7" w:rsidRPr="00EC4DE7" w:rsidTr="00EC4DE7">
        <w:trPr>
          <w:tblCellSpacing w:w="15" w:type="dxa"/>
        </w:trPr>
        <w:tc>
          <w:tcPr>
            <w:tcW w:w="783" w:type="dxa"/>
            <w:tcBorders>
              <w:lef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25" w:type="dxa"/>
            <w:tcBorders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Выдача предостережений о недопустимости нарушения обязательных требований, установленных действующим законодательством в сфере благоустройства в случаях, установленных </w:t>
            </w:r>
            <w:proofErr w:type="gramStart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ч</w:t>
            </w:r>
            <w:proofErr w:type="gramEnd"/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.ч. 5-7 ст.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</w:tc>
        <w:tc>
          <w:tcPr>
            <w:tcW w:w="2637" w:type="dxa"/>
            <w:tcBorders>
              <w:right w:val="single" w:sz="4" w:space="0" w:color="auto"/>
            </w:tcBorders>
            <w:shd w:val="clear" w:color="auto" w:fill="F6F6F4"/>
            <w:vAlign w:val="center"/>
            <w:hideMark/>
          </w:tcPr>
          <w:p w:rsidR="00EC4DE7" w:rsidRPr="00EC4DE7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C4DE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Органы (должностные лица), уполномоченные на осуществление данного вида муниципального контроля</w:t>
            </w:r>
          </w:p>
        </w:tc>
      </w:tr>
      <w:tr w:rsidR="00EC4DE7" w:rsidTr="00EC4DE7">
        <w:tblPrEx>
          <w:tblCellSpacing w:w="0" w:type="nil"/>
          <w:tblBorders>
            <w:top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0"/>
        </w:trPr>
        <w:tc>
          <w:tcPr>
            <w:tcW w:w="9405" w:type="dxa"/>
            <w:gridSpan w:val="3"/>
            <w:tcBorders>
              <w:top w:val="single" w:sz="4" w:space="0" w:color="auto"/>
            </w:tcBorders>
          </w:tcPr>
          <w:p w:rsidR="00EC4DE7" w:rsidRPr="00F3001A" w:rsidRDefault="00EC4DE7" w:rsidP="00EC4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B2D36"/>
                <w:sz w:val="28"/>
                <w:szCs w:val="28"/>
                <w:lang w:eastAsia="ru-RU"/>
              </w:rPr>
            </w:pPr>
          </w:p>
        </w:tc>
      </w:tr>
    </w:tbl>
    <w:p w:rsidR="00EC4DE7" w:rsidRPr="00EC4DE7" w:rsidRDefault="00EC4DE7" w:rsidP="00EC4DE7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3001A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Раздел 6.  Срок реализации программы</w:t>
      </w:r>
    </w:p>
    <w:p w:rsidR="00891ACE" w:rsidRDefault="00EC4DE7" w:rsidP="00891ACE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Срок реализации программы - 20</w:t>
      </w:r>
      <w:r w:rsidR="00891ACE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20</w:t>
      </w:r>
      <w:r w:rsidRPr="00EC4DE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год.</w:t>
      </w:r>
    </w:p>
    <w:p w:rsidR="00891ACE" w:rsidRDefault="00891ACE" w:rsidP="00891ACE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891ACE" w:rsidRDefault="00891ACE" w:rsidP="00891ACE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891ACE" w:rsidRPr="00891ACE" w:rsidRDefault="00891ACE" w:rsidP="00891ACE">
      <w:pPr>
        <w:shd w:val="clear" w:color="auto" w:fill="F6F6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867BB5" w:rsidRPr="00867BB5" w:rsidRDefault="00867BB5" w:rsidP="00867BB5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67BB5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к постановлению</w:t>
      </w:r>
    </w:p>
    <w:p w:rsidR="00867BB5" w:rsidRPr="00867BB5" w:rsidRDefault="00867BB5" w:rsidP="00867BB5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67BB5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proofErr w:type="gramStart"/>
      <w:r w:rsidRPr="00867BB5">
        <w:rPr>
          <w:rFonts w:ascii="Times New Roman" w:hAnsi="Times New Roman" w:cs="Times New Roman"/>
          <w:sz w:val="28"/>
          <w:szCs w:val="28"/>
          <w:lang w:val="ru-RU"/>
        </w:rPr>
        <w:t>Лейпцигского</w:t>
      </w:r>
      <w:proofErr w:type="gramEnd"/>
      <w:r w:rsidRPr="00867B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67BB5" w:rsidRPr="00867BB5" w:rsidRDefault="00867BB5" w:rsidP="00867BB5">
      <w:pPr>
        <w:pStyle w:val="a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67BB5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от </w:t>
      </w:r>
      <w:r w:rsidR="00891ACE">
        <w:rPr>
          <w:rFonts w:ascii="Times New Roman" w:hAnsi="Times New Roman" w:cs="Times New Roman"/>
          <w:sz w:val="28"/>
          <w:szCs w:val="28"/>
          <w:lang w:val="ru-RU"/>
        </w:rPr>
        <w:t>17.10</w:t>
      </w:r>
      <w:r w:rsidRPr="00867BB5">
        <w:rPr>
          <w:rFonts w:ascii="Times New Roman" w:hAnsi="Times New Roman" w:cs="Times New Roman"/>
          <w:sz w:val="28"/>
          <w:szCs w:val="28"/>
          <w:lang w:val="ru-RU"/>
        </w:rPr>
        <w:t xml:space="preserve">.2019 г. № </w:t>
      </w:r>
      <w:r w:rsidR="00891ACE">
        <w:rPr>
          <w:rFonts w:ascii="Times New Roman" w:hAnsi="Times New Roman" w:cs="Times New Roman"/>
          <w:sz w:val="28"/>
          <w:szCs w:val="28"/>
          <w:lang w:val="ru-RU"/>
        </w:rPr>
        <w:t>22</w:t>
      </w:r>
    </w:p>
    <w:p w:rsidR="00867BB5" w:rsidRDefault="00867BB5" w:rsidP="00867BB5">
      <w:pPr>
        <w:rPr>
          <w:rFonts w:ascii="Times New Roman" w:hAnsi="Times New Roman" w:cs="Times New Roman"/>
          <w:b/>
          <w:sz w:val="24"/>
          <w:szCs w:val="24"/>
        </w:rPr>
      </w:pPr>
    </w:p>
    <w:p w:rsidR="00867BB5" w:rsidRDefault="00867BB5" w:rsidP="00867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нормативно-правовых актов, устанавливающих обязательные требования, подлежащие проверке при проведении муниципального контроля в сфере благоустройства</w:t>
      </w:r>
    </w:p>
    <w:tbl>
      <w:tblPr>
        <w:tblStyle w:val="aa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867BB5" w:rsidTr="00867BB5">
        <w:trPr>
          <w:trHeight w:val="236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и реквизиты НПА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Указания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867BB5" w:rsidTr="00867BB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контроль в сфере благоустройства</w:t>
            </w:r>
          </w:p>
        </w:tc>
      </w:tr>
      <w:tr w:rsidR="00867BB5" w:rsidTr="00867BB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 – ФЗ «Об общих принципах организации местного самоуправления в Российской Федерации»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19 статья 14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867BB5" w:rsidTr="00867BB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26.12.2008г. № 294 – ФЗ «О защите прав юридических лиц и индивидуальных предпринимателей при осуществлении государственного контроля и муниципального контроля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ACE" w:rsidRPr="00891ACE" w:rsidRDefault="00891ACE" w:rsidP="00891AC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1A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статья 8.2</w:t>
            </w:r>
          </w:p>
          <w:p w:rsidR="00867BB5" w:rsidRDefault="00891ACE" w:rsidP="0089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части 5 - 7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867BB5" w:rsidTr="00867BB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Pr="00867BB5" w:rsidRDefault="00867BB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B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№ 3 от 04.03.2019г. «Об утверждении правил</w:t>
            </w:r>
          </w:p>
          <w:p w:rsidR="00867BB5" w:rsidRDefault="00867B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67B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7BB5" w:rsidRDefault="0086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Лейпцигского сельского поселения»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867BB5" w:rsidTr="00867BB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осуществлению муниципального контроля в сфере благоустройства на территории Лейпцигского сельского поселения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BB5" w:rsidRDefault="0086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предприниматель</w:t>
            </w:r>
          </w:p>
        </w:tc>
      </w:tr>
    </w:tbl>
    <w:p w:rsidR="00867BB5" w:rsidRDefault="00867BB5" w:rsidP="00867B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BB5" w:rsidRDefault="00867BB5"/>
    <w:p w:rsidR="00867BB5" w:rsidRDefault="00867BB5"/>
    <w:p w:rsidR="00867BB5" w:rsidRDefault="00867BB5"/>
    <w:p w:rsidR="00867BB5" w:rsidRDefault="00867BB5"/>
    <w:p w:rsidR="00867BB5" w:rsidRDefault="00867BB5"/>
    <w:p w:rsidR="00867BB5" w:rsidRDefault="00867BB5"/>
    <w:p w:rsidR="00867BB5" w:rsidRDefault="00867BB5"/>
    <w:sectPr w:rsidR="00867BB5" w:rsidSect="00891ACE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C4A7A"/>
    <w:multiLevelType w:val="multilevel"/>
    <w:tmpl w:val="0B9A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F7438"/>
    <w:multiLevelType w:val="multilevel"/>
    <w:tmpl w:val="AF0E4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C4DE7"/>
    <w:rsid w:val="002476C7"/>
    <w:rsid w:val="00772F68"/>
    <w:rsid w:val="007B3833"/>
    <w:rsid w:val="00867BB5"/>
    <w:rsid w:val="00891ACE"/>
    <w:rsid w:val="009E3AF3"/>
    <w:rsid w:val="00CB2439"/>
    <w:rsid w:val="00CE4A49"/>
    <w:rsid w:val="00EC4DE7"/>
    <w:rsid w:val="00F3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DE7"/>
    <w:rPr>
      <w:b/>
      <w:bCs/>
    </w:rPr>
  </w:style>
  <w:style w:type="character" w:customStyle="1" w:styleId="a5">
    <w:name w:val="Без интервала Знак"/>
    <w:basedOn w:val="a0"/>
    <w:link w:val="a6"/>
    <w:uiPriority w:val="1"/>
    <w:locked/>
    <w:rsid w:val="00EC4DE7"/>
    <w:rPr>
      <w:rFonts w:asciiTheme="majorHAnsi" w:eastAsiaTheme="majorEastAsia" w:hAnsiTheme="majorHAnsi" w:cstheme="majorBidi"/>
      <w:lang w:val="en-US" w:bidi="en-US"/>
    </w:rPr>
  </w:style>
  <w:style w:type="paragraph" w:styleId="a6">
    <w:name w:val="No Spacing"/>
    <w:basedOn w:val="a"/>
    <w:link w:val="a5"/>
    <w:uiPriority w:val="1"/>
    <w:qFormat/>
    <w:rsid w:val="00EC4DE7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EC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4D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4DE7"/>
    <w:pPr>
      <w:ind w:left="720"/>
      <w:contextualSpacing/>
    </w:pPr>
  </w:style>
  <w:style w:type="table" w:styleId="aa">
    <w:name w:val="Table Grid"/>
    <w:basedOn w:val="a1"/>
    <w:uiPriority w:val="59"/>
    <w:rsid w:val="00867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2019-10-17T04:29:00Z</cp:lastPrinted>
  <dcterms:created xsi:type="dcterms:W3CDTF">2019-04-02T06:40:00Z</dcterms:created>
  <dcterms:modified xsi:type="dcterms:W3CDTF">2019-10-17T04:30:00Z</dcterms:modified>
</cp:coreProperties>
</file>