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FC68E2">
        <w:rPr>
          <w:rFonts w:ascii="Times New Roman" w:hAnsi="Times New Roman" w:cs="Times New Roman"/>
          <w:b/>
          <w:sz w:val="26"/>
        </w:rPr>
        <w:t>Катен</w:t>
      </w:r>
      <w:r w:rsidRPr="00FC68E2">
        <w:rPr>
          <w:rFonts w:ascii="Times New Roman" w:hAnsi="Times New Roman" w:cs="Times New Roman"/>
          <w:b/>
          <w:sz w:val="26"/>
        </w:rPr>
        <w:t>инского сельского поселения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Варненского муниципального района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1048CA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08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64541B" w:rsidRPr="0064541B">
        <w:rPr>
          <w:rFonts w:ascii="Times New Roman" w:hAnsi="Times New Roman" w:cs="Times New Roman"/>
          <w:sz w:val="24"/>
          <w:szCs w:val="24"/>
        </w:rPr>
        <w:t xml:space="preserve"> </w:t>
      </w:r>
      <w:r w:rsidR="005363B4">
        <w:rPr>
          <w:rFonts w:ascii="Times New Roman" w:hAnsi="Times New Roman" w:cs="Times New Roman"/>
          <w:sz w:val="24"/>
          <w:szCs w:val="24"/>
        </w:rPr>
        <w:t>августа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5363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C68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1048CA">
        <w:rPr>
          <w:color w:val="000000"/>
        </w:rPr>
        <w:t>3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1048CA">
        <w:rPr>
          <w:color w:val="000000"/>
        </w:rPr>
        <w:t>4</w:t>
      </w:r>
      <w:r>
        <w:rPr>
          <w:color w:val="000000"/>
        </w:rPr>
        <w:t xml:space="preserve"> и 202</w:t>
      </w:r>
      <w:r w:rsidR="001048CA">
        <w:rPr>
          <w:color w:val="000000"/>
        </w:rPr>
        <w:t>5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FC68E2">
        <w:rPr>
          <w:color w:val="000000"/>
        </w:rPr>
        <w:t>Катенин</w:t>
      </w:r>
      <w:r w:rsidR="00C56BE7">
        <w:rPr>
          <w:color w:val="000000"/>
        </w:rPr>
        <w:t>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  <w:bookmarkStart w:id="0" w:name="_GoBack"/>
      <w:bookmarkEnd w:id="0"/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1048CA">
        <w:rPr>
          <w:color w:val="000000"/>
        </w:rPr>
        <w:t>3</w:t>
      </w:r>
      <w:r w:rsidR="00C56BE7">
        <w:rPr>
          <w:color w:val="000000"/>
        </w:rPr>
        <w:t xml:space="preserve"> год и плановый период 202</w:t>
      </w:r>
      <w:r w:rsidR="001048CA">
        <w:rPr>
          <w:color w:val="000000"/>
        </w:rPr>
        <w:t>4</w:t>
      </w:r>
      <w:r w:rsidR="00C56BE7">
        <w:rPr>
          <w:color w:val="000000"/>
        </w:rPr>
        <w:t xml:space="preserve"> и 202</w:t>
      </w:r>
      <w:r w:rsidR="001048CA">
        <w:rPr>
          <w:color w:val="000000"/>
        </w:rPr>
        <w:t>5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1048CA">
        <w:rPr>
          <w:color w:val="000000"/>
        </w:rPr>
        <w:t>3</w:t>
      </w:r>
      <w:r>
        <w:rPr>
          <w:color w:val="000000"/>
        </w:rPr>
        <w:t xml:space="preserve"> год и плановый период 202</w:t>
      </w:r>
      <w:r w:rsidR="001048CA">
        <w:rPr>
          <w:color w:val="000000"/>
        </w:rPr>
        <w:t>4</w:t>
      </w:r>
      <w:r>
        <w:rPr>
          <w:color w:val="000000"/>
        </w:rPr>
        <w:t xml:space="preserve"> и 202</w:t>
      </w:r>
      <w:r w:rsidR="001048CA">
        <w:rPr>
          <w:color w:val="000000"/>
        </w:rPr>
        <w:t>5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4BA9" w:rsidRDefault="00204BA9" w:rsidP="005348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FC68E2">
        <w:rPr>
          <w:color w:val="000000"/>
        </w:rPr>
        <w:t>2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FC68E2">
        <w:rPr>
          <w:sz w:val="26"/>
          <w:szCs w:val="26"/>
        </w:rPr>
        <w:t>3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8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FC68E2">
        <w:rPr>
          <w:rFonts w:ascii="Times New Roman" w:eastAsia="Times New Roman" w:hAnsi="Times New Roman" w:cs="Times New Roman"/>
          <w:sz w:val="24"/>
          <w:szCs w:val="24"/>
        </w:rPr>
        <w:t>Катен</w:t>
      </w:r>
      <w:r w:rsidR="0064541B">
        <w:rPr>
          <w:rFonts w:ascii="Times New Roman" w:eastAsia="Times New Roman" w:hAnsi="Times New Roman" w:cs="Times New Roman"/>
          <w:sz w:val="24"/>
          <w:szCs w:val="24"/>
        </w:rPr>
        <w:t>инского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FC68E2">
        <w:t>А.Т.Искаков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FC68E2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Катен</w:t>
      </w:r>
      <w:r w:rsidR="00E61E69">
        <w:rPr>
          <w:b/>
          <w:sz w:val="24"/>
          <w:szCs w:val="24"/>
        </w:rPr>
        <w:t>инского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1048CA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</w:t>
      </w:r>
      <w:r w:rsidR="005363B4">
        <w:rPr>
          <w:b/>
          <w:sz w:val="24"/>
          <w:szCs w:val="24"/>
        </w:rPr>
        <w:t>августа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1048CA">
        <w:rPr>
          <w:b/>
          <w:sz w:val="24"/>
          <w:szCs w:val="24"/>
        </w:rPr>
        <w:t>2</w:t>
      </w:r>
      <w:r w:rsidRPr="007063A1">
        <w:rPr>
          <w:b/>
          <w:sz w:val="24"/>
          <w:szCs w:val="24"/>
        </w:rPr>
        <w:t xml:space="preserve"> г. № </w:t>
      </w:r>
      <w:r w:rsidR="00FC68E2">
        <w:rPr>
          <w:b/>
          <w:sz w:val="24"/>
          <w:szCs w:val="24"/>
        </w:rPr>
        <w:t>3</w:t>
      </w:r>
      <w:r w:rsidR="001048CA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 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1048CA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1048CA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и 202</w:t>
      </w:r>
      <w:r w:rsidR="001048CA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proofErr w:type="spellStart"/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1048CA">
        <w:rPr>
          <w:sz w:val="24"/>
          <w:szCs w:val="24"/>
        </w:rPr>
        <w:t>3</w:t>
      </w:r>
      <w:r>
        <w:rPr>
          <w:sz w:val="24"/>
          <w:szCs w:val="24"/>
        </w:rPr>
        <w:t xml:space="preserve"> год и плановый период 202</w:t>
      </w:r>
      <w:r w:rsidR="001048CA">
        <w:rPr>
          <w:sz w:val="24"/>
          <w:szCs w:val="24"/>
        </w:rPr>
        <w:t>4</w:t>
      </w:r>
      <w:r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5363B4">
        <w:rPr>
          <w:sz w:val="24"/>
          <w:szCs w:val="24"/>
        </w:rPr>
        <w:t>распоряжением Администрации от 31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1048CA">
        <w:rPr>
          <w:sz w:val="24"/>
          <w:szCs w:val="24"/>
        </w:rPr>
        <w:t>2</w:t>
      </w:r>
      <w:r w:rsidR="00E91E9D" w:rsidRPr="009C65BE">
        <w:rPr>
          <w:sz w:val="24"/>
          <w:szCs w:val="24"/>
        </w:rPr>
        <w:t xml:space="preserve"> г. № </w:t>
      </w:r>
      <w:r w:rsidR="001048CA">
        <w:rPr>
          <w:sz w:val="24"/>
          <w:szCs w:val="24"/>
        </w:rPr>
        <w:t>15</w:t>
      </w:r>
      <w:r w:rsidR="00FC68E2">
        <w:rPr>
          <w:sz w:val="24"/>
          <w:szCs w:val="24"/>
        </w:rPr>
        <w:t>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1048CA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 и 20</w:t>
      </w:r>
      <w:r w:rsidRPr="009C65BE">
        <w:rPr>
          <w:sz w:val="24"/>
          <w:szCs w:val="24"/>
        </w:rPr>
        <w:t>2</w:t>
      </w:r>
      <w:r w:rsidR="001048CA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proofErr w:type="spellStart"/>
      <w:r w:rsidR="00FC68E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</w:t>
      </w:r>
      <w:proofErr w:type="spellEnd"/>
      <w:r w:rsidR="00E91E9D" w:rsidRPr="009C65BE">
        <w:rPr>
          <w:sz w:val="24"/>
          <w:szCs w:val="24"/>
        </w:rPr>
        <w:t xml:space="preserve"> сельского </w:t>
      </w:r>
      <w:proofErr w:type="spellStart"/>
      <w:r w:rsidR="00E91E9D" w:rsidRPr="009C65BE">
        <w:rPr>
          <w:sz w:val="24"/>
          <w:szCs w:val="24"/>
        </w:rPr>
        <w:t>посления</w:t>
      </w:r>
      <w:proofErr w:type="spellEnd"/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5C2D4A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230381">
        <w:rPr>
          <w:sz w:val="24"/>
          <w:szCs w:val="24"/>
        </w:rPr>
        <w:t>-202</w:t>
      </w:r>
      <w:r w:rsidR="001048CA">
        <w:rPr>
          <w:sz w:val="24"/>
          <w:szCs w:val="24"/>
        </w:rPr>
        <w:t>5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 w:rsidR="001048CA">
        <w:rPr>
          <w:sz w:val="24"/>
          <w:szCs w:val="24"/>
        </w:rPr>
        <w:t>21</w:t>
      </w:r>
      <w:r w:rsidRPr="007C2F5E">
        <w:rPr>
          <w:sz w:val="24"/>
          <w:szCs w:val="24"/>
        </w:rPr>
        <w:t>-202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1048CA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>-202</w:t>
      </w:r>
      <w:r w:rsidR="001048CA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="005363B4">
        <w:rPr>
          <w:sz w:val="24"/>
          <w:szCs w:val="24"/>
        </w:rPr>
        <w:t xml:space="preserve"> «</w:t>
      </w:r>
      <w:proofErr w:type="gramStart"/>
      <w:r w:rsidR="005363B4">
        <w:rPr>
          <w:sz w:val="24"/>
          <w:szCs w:val="24"/>
        </w:rPr>
        <w:t>О  бюджете</w:t>
      </w:r>
      <w:proofErr w:type="gramEnd"/>
      <w:r w:rsidR="005363B4">
        <w:rPr>
          <w:sz w:val="24"/>
          <w:szCs w:val="24"/>
        </w:rPr>
        <w:t xml:space="preserve"> на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1048CA">
        <w:rPr>
          <w:sz w:val="24"/>
          <w:szCs w:val="24"/>
        </w:rPr>
        <w:t>3</w:t>
      </w:r>
      <w:r w:rsidRPr="00A865FA">
        <w:rPr>
          <w:sz w:val="24"/>
          <w:szCs w:val="24"/>
        </w:rPr>
        <w:t xml:space="preserve"> года до 1</w:t>
      </w:r>
      <w:r w:rsidR="005363B4">
        <w:rPr>
          <w:sz w:val="24"/>
          <w:szCs w:val="24"/>
        </w:rPr>
        <w:t>5</w:t>
      </w:r>
      <w:r w:rsidRPr="00A865FA">
        <w:rPr>
          <w:sz w:val="24"/>
          <w:szCs w:val="24"/>
        </w:rPr>
        <w:t xml:space="preserve"> </w:t>
      </w:r>
      <w:r w:rsidR="001048CA">
        <w:rPr>
          <w:sz w:val="24"/>
          <w:szCs w:val="24"/>
        </w:rPr>
        <w:t>973</w:t>
      </w:r>
      <w:r w:rsidRPr="00A865FA">
        <w:rPr>
          <w:sz w:val="24"/>
          <w:szCs w:val="24"/>
        </w:rPr>
        <w:t xml:space="preserve"> рублей;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r w:rsidR="001048CA" w:rsidRPr="00224756">
        <w:rPr>
          <w:sz w:val="24"/>
          <w:szCs w:val="24"/>
        </w:rPr>
        <w:t>соответствии с</w:t>
      </w:r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3E4319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от </w:t>
      </w:r>
      <w:r w:rsidR="00573F02">
        <w:rPr>
          <w:sz w:val="24"/>
          <w:szCs w:val="24"/>
        </w:rPr>
        <w:t>31.05.202</w:t>
      </w:r>
      <w:r w:rsidR="001048CA">
        <w:rPr>
          <w:sz w:val="24"/>
          <w:szCs w:val="24"/>
        </w:rPr>
        <w:t>2</w:t>
      </w:r>
      <w:r w:rsidRPr="009C65BE">
        <w:rPr>
          <w:sz w:val="24"/>
          <w:szCs w:val="24"/>
        </w:rPr>
        <w:t xml:space="preserve"> г. № </w:t>
      </w:r>
      <w:r w:rsidR="00573F02">
        <w:rPr>
          <w:sz w:val="24"/>
          <w:szCs w:val="24"/>
        </w:rPr>
        <w:t>1</w:t>
      </w:r>
      <w:r w:rsidR="001048CA">
        <w:rPr>
          <w:sz w:val="24"/>
          <w:szCs w:val="24"/>
        </w:rPr>
        <w:t>5</w:t>
      </w:r>
      <w:r w:rsidR="00573F02">
        <w:rPr>
          <w:sz w:val="24"/>
          <w:szCs w:val="24"/>
        </w:rPr>
        <w:t>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</w:t>
      </w:r>
      <w:r w:rsidRPr="00C006EC">
        <w:rPr>
          <w:sz w:val="24"/>
          <w:szCs w:val="24"/>
        </w:rPr>
        <w:lastRenderedPageBreak/>
        <w:t xml:space="preserve">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3A3D7C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9C65BE">
        <w:rPr>
          <w:sz w:val="24"/>
          <w:szCs w:val="24"/>
        </w:rPr>
        <w:t>-202</w:t>
      </w:r>
      <w:r w:rsidR="003A3D7C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3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и 202</w:t>
      </w:r>
      <w:r w:rsidR="003A3D7C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r w:rsidRPr="00A17DEC">
        <w:rPr>
          <w:sz w:val="24"/>
          <w:szCs w:val="24"/>
        </w:rPr>
        <w:t>Порядком  формирования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862D41">
        <w:rPr>
          <w:sz w:val="24"/>
          <w:szCs w:val="24"/>
        </w:rPr>
        <w:t>изменений  в  порядок  применения  классификации  операций  сектора государственного  управления,  утвержденных  приказом  Минфина  России от 13 мая 2019 года № 69н (далее – Порядок № 69н);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3A3D7C">
        <w:rPr>
          <w:sz w:val="24"/>
          <w:szCs w:val="24"/>
        </w:rPr>
        <w:t>3</w:t>
      </w:r>
      <w:r w:rsidRPr="00A17DEC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>Аналитической  таблицы  направлений</w:t>
      </w:r>
      <w:r w:rsidR="002E0E9D">
        <w:rPr>
          <w:sz w:val="24"/>
          <w:szCs w:val="24"/>
        </w:rPr>
        <w:t xml:space="preserve">  расходов,  применяемых  в  2020</w:t>
      </w:r>
      <w:r w:rsidRPr="00A17DEC">
        <w:rPr>
          <w:sz w:val="24"/>
          <w:szCs w:val="24"/>
        </w:rPr>
        <w:t>-202</w:t>
      </w:r>
      <w:r w:rsidR="002E0E9D">
        <w:rPr>
          <w:sz w:val="24"/>
          <w:szCs w:val="24"/>
        </w:rPr>
        <w:t>1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82080F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82080F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3A3D7C">
        <w:rPr>
          <w:sz w:val="24"/>
          <w:szCs w:val="24"/>
          <w:lang w:eastAsia="ru-RU"/>
        </w:rPr>
        <w:t>3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3A3D7C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 и  202</w:t>
      </w:r>
      <w:r w:rsidR="003A3D7C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lastRenderedPageBreak/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2E0E9D">
        <w:rPr>
          <w:rFonts w:ascii="Times New Roman" w:hAnsi="Times New Roman" w:cs="Times New Roman"/>
          <w:sz w:val="24"/>
          <w:szCs w:val="24"/>
        </w:rPr>
        <w:t>олнении районного бюджета на 202</w:t>
      </w:r>
      <w:r w:rsidR="003A3D7C">
        <w:rPr>
          <w:rFonts w:ascii="Times New Roman" w:hAnsi="Times New Roman" w:cs="Times New Roman"/>
          <w:sz w:val="24"/>
          <w:szCs w:val="24"/>
        </w:rPr>
        <w:t>3</w:t>
      </w:r>
      <w:r w:rsidR="002E0E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A3D7C">
        <w:rPr>
          <w:rFonts w:ascii="Times New Roman" w:hAnsi="Times New Roman" w:cs="Times New Roman"/>
          <w:sz w:val="24"/>
          <w:szCs w:val="24"/>
        </w:rPr>
        <w:t>4</w:t>
      </w:r>
      <w:r w:rsidR="002E0E9D">
        <w:rPr>
          <w:rFonts w:ascii="Times New Roman" w:hAnsi="Times New Roman" w:cs="Times New Roman"/>
          <w:sz w:val="24"/>
          <w:szCs w:val="24"/>
        </w:rPr>
        <w:t xml:space="preserve"> и 202</w:t>
      </w:r>
      <w:r w:rsidR="003A3D7C">
        <w:rPr>
          <w:rFonts w:ascii="Times New Roman" w:hAnsi="Times New Roman" w:cs="Times New Roman"/>
          <w:sz w:val="24"/>
          <w:szCs w:val="24"/>
        </w:rPr>
        <w:t>5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2E0E9D">
        <w:rPr>
          <w:sz w:val="24"/>
          <w:szCs w:val="24"/>
          <w:lang w:eastAsia="ru-RU"/>
        </w:rPr>
        <w:t>ений расходов, применяемых в 202</w:t>
      </w:r>
      <w:r w:rsidR="005F313B">
        <w:rPr>
          <w:sz w:val="24"/>
          <w:szCs w:val="24"/>
          <w:lang w:eastAsia="ru-RU"/>
        </w:rPr>
        <w:t>0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2E0E9D">
        <w:rPr>
          <w:sz w:val="24"/>
          <w:szCs w:val="24"/>
          <w:lang w:eastAsia="ru-RU"/>
        </w:rPr>
        <w:t>1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3A3D7C">
        <w:rPr>
          <w:sz w:val="24"/>
          <w:szCs w:val="24"/>
          <w:lang w:eastAsia="ru-RU"/>
        </w:rPr>
        <w:t>3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3A3D7C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и 202</w:t>
      </w:r>
      <w:r w:rsidR="003A3D7C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b/>
          <w:sz w:val="24"/>
          <w:szCs w:val="24"/>
        </w:rPr>
        <w:t>Катен</w:t>
      </w:r>
      <w:r w:rsidR="003C19A5">
        <w:rPr>
          <w:b/>
          <w:sz w:val="24"/>
          <w:szCs w:val="24"/>
        </w:rPr>
        <w:t xml:space="preserve">инского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3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и 202</w:t>
      </w:r>
      <w:r w:rsidR="003A3D7C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60FD1"/>
    <w:rsid w:val="00071112"/>
    <w:rsid w:val="0007118F"/>
    <w:rsid w:val="00073DDF"/>
    <w:rsid w:val="000E7AA6"/>
    <w:rsid w:val="001048CA"/>
    <w:rsid w:val="00111786"/>
    <w:rsid w:val="00156ED2"/>
    <w:rsid w:val="00162FEF"/>
    <w:rsid w:val="0016386D"/>
    <w:rsid w:val="001D35F9"/>
    <w:rsid w:val="001E05B8"/>
    <w:rsid w:val="00204BA9"/>
    <w:rsid w:val="0026154D"/>
    <w:rsid w:val="002C7BFD"/>
    <w:rsid w:val="002D22CF"/>
    <w:rsid w:val="002D3DA3"/>
    <w:rsid w:val="002E0E9D"/>
    <w:rsid w:val="002E475F"/>
    <w:rsid w:val="002F7093"/>
    <w:rsid w:val="003052F0"/>
    <w:rsid w:val="00312E11"/>
    <w:rsid w:val="003452E8"/>
    <w:rsid w:val="00382DF7"/>
    <w:rsid w:val="003A35F1"/>
    <w:rsid w:val="003A3D7C"/>
    <w:rsid w:val="003C073F"/>
    <w:rsid w:val="003C19A5"/>
    <w:rsid w:val="003D2F5C"/>
    <w:rsid w:val="00434559"/>
    <w:rsid w:val="00440345"/>
    <w:rsid w:val="00484DD4"/>
    <w:rsid w:val="00496707"/>
    <w:rsid w:val="004D09B0"/>
    <w:rsid w:val="00502D05"/>
    <w:rsid w:val="00521CBD"/>
    <w:rsid w:val="005348EA"/>
    <w:rsid w:val="005363B4"/>
    <w:rsid w:val="00573F02"/>
    <w:rsid w:val="00595FBD"/>
    <w:rsid w:val="005D007C"/>
    <w:rsid w:val="005D1A61"/>
    <w:rsid w:val="005E0704"/>
    <w:rsid w:val="005F00B4"/>
    <w:rsid w:val="005F313B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7473B"/>
    <w:rsid w:val="00AA0625"/>
    <w:rsid w:val="00AB15EF"/>
    <w:rsid w:val="00AC0203"/>
    <w:rsid w:val="00B311D7"/>
    <w:rsid w:val="00B313E8"/>
    <w:rsid w:val="00BC0160"/>
    <w:rsid w:val="00BC26B8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6940A-89CA-41C1-BF65-F140CE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A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96</cp:revision>
  <cp:lastPrinted>2022-08-08T09:53:00Z</cp:lastPrinted>
  <dcterms:created xsi:type="dcterms:W3CDTF">2018-05-22T06:40:00Z</dcterms:created>
  <dcterms:modified xsi:type="dcterms:W3CDTF">2022-08-08T09:54:00Z</dcterms:modified>
</cp:coreProperties>
</file>