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B9" w:rsidRDefault="00F53D16">
      <w:pPr>
        <w:pStyle w:val="ConsPlusTitle"/>
        <w:jc w:val="center"/>
        <w:rPr>
          <w:rFonts w:ascii="Times New Roman" w:hAnsi="Times New Roman"/>
        </w:rPr>
      </w:pPr>
      <w:bookmarkStart w:id="0" w:name="Par69"/>
      <w:bookmarkStart w:id="1" w:name="_GoBack"/>
      <w:bookmarkEnd w:id="0"/>
      <w:bookmarkEnd w:id="1"/>
      <w:r>
        <w:rPr>
          <w:rFonts w:ascii="Times New Roman" w:hAnsi="Times New Roman"/>
        </w:rPr>
        <w:t>Размеры</w:t>
      </w:r>
    </w:p>
    <w:p w:rsidR="006F4AB9" w:rsidRDefault="00F53D16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денежного вознаграждения гражданам</w:t>
      </w:r>
    </w:p>
    <w:p w:rsidR="006F4AB9" w:rsidRDefault="00F53D16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связи с добровольной сдачей незаконно </w:t>
      </w:r>
      <w:proofErr w:type="gramStart"/>
      <w:r>
        <w:rPr>
          <w:rFonts w:ascii="Times New Roman" w:hAnsi="Times New Roman"/>
        </w:rPr>
        <w:t>хранящихся</w:t>
      </w:r>
      <w:proofErr w:type="gramEnd"/>
    </w:p>
    <w:p w:rsidR="006F4AB9" w:rsidRDefault="00F53D16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оружия, боеприпасов и взрывчатых веществ</w:t>
      </w:r>
    </w:p>
    <w:p w:rsidR="006F4AB9" w:rsidRDefault="006F4AB9">
      <w:pPr>
        <w:pStyle w:val="ConsPlusNormal"/>
      </w:pPr>
    </w:p>
    <w:tbl>
      <w:tblPr>
        <w:tblW w:w="10767" w:type="dxa"/>
        <w:tblInd w:w="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354"/>
        <w:gridCol w:w="1816"/>
      </w:tblGrid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Наименование видов сдаваемого оружия, боеприпасов, взрывчатых веществ и взрывных устройств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Количество</w:t>
            </w:r>
          </w:p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(единиц, граммов,</w:t>
            </w:r>
            <w:r>
              <w:rPr>
                <w:highlight w:val="white"/>
              </w:rPr>
              <w:t xml:space="preserve"> метров)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Размеры денежного вознаграждения</w:t>
            </w:r>
          </w:p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(рублей)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Минометы типов: БМ-37 (батальонный), ПМ-120 (полковой) и другие аналогичные образцы вооружения, включая образцы иностранного производства и самодельные (без снаряда)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15000,0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"ПТРК" - переносные</w:t>
            </w:r>
            <w:r>
              <w:rPr>
                <w:highlight w:val="white"/>
              </w:rPr>
              <w:t xml:space="preserve"> противотанковые ракетные комплексы типов: 9п151 "Метис", 9п151М "Метис-М", 9п135 "Фагот", 9п135М "Фагот-М" (без снаряда)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25000,0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"ПЗРК" - переносные зенитно-ракетные комплексы типов: "Стрела-2", "Стрела-2М", "Игла" (механизм без ракеты)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 xml:space="preserve">1 </w:t>
            </w:r>
            <w:r>
              <w:rPr>
                <w:highlight w:val="white"/>
              </w:rPr>
              <w:t>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35000,0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 xml:space="preserve">Гранатометы автоматические типов: АГС-17, </w:t>
            </w:r>
            <w:proofErr w:type="gramStart"/>
            <w:r>
              <w:rPr>
                <w:highlight w:val="white"/>
              </w:rPr>
              <w:t>многоразовые</w:t>
            </w:r>
            <w:proofErr w:type="gramEnd"/>
            <w:r>
              <w:rPr>
                <w:highlight w:val="white"/>
              </w:rPr>
              <w:t xml:space="preserve"> типов: РПГ-7, РПГ-7В, РПГ-27, включая гранатометы иностранного производства, с ночными прицелами и самодельные (без снаряда)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10000,0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Одноразовые гранатометы в снаряженном со</w:t>
            </w:r>
            <w:r>
              <w:rPr>
                <w:highlight w:val="white"/>
              </w:rPr>
              <w:t>стоянии типов: РПГ-18, РПГ-22, РПГ-26, РПГ-27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12000,0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Пулеметы типов: ПК, ПКМ, ПКТ, ПКМБ, РПК, РПКС, РПК-74, РПКС-74, НСВ-12,7, НСВС, НСВТ, ДШК, ДШКМ, ДШКБ, КПВТ-14,5 и другие аналогичные образцы вооружения, включая пулеметы иностранного произво</w:t>
            </w:r>
            <w:r>
              <w:rPr>
                <w:highlight w:val="white"/>
              </w:rPr>
              <w:t>дства и с ночными прицелами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10000,0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Автоматы типов: АК, АКМ, АКМС, АК-74, АКС-74, АКС-74у и другие аналогичные образцы вооружения, включая автоматы иностранного производства и с ночными прицелами, ПГТ-91 "Кедр", подствольные гранатометы типов: Г</w:t>
            </w:r>
            <w:r>
              <w:rPr>
                <w:highlight w:val="white"/>
              </w:rPr>
              <w:t>П-25, ГП-30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8000,0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Боевые снайперские винтовки типа: СВД, СВДС, СВДН, включая образцы нарезного длинноствольного оружия, приспособленные для снайперской стрельбы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8000,0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Пистолеты-пулеметы типов: ППШ-41, ППС-43, ГТП-90, ОЦ-02 "Кипарис"</w:t>
            </w:r>
            <w:r>
              <w:rPr>
                <w:highlight w:val="white"/>
              </w:rPr>
              <w:t xml:space="preserve"> и другие аналогичные образцы вооружения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6000,0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Пистолет или револьвер огнестрельный короткоствольный с нарезным стволом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6000,0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Охотничий карабин (из незаконного оборота), включая обрезы из нарезного охотничьего и боевого оружия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</w:t>
            </w:r>
            <w:r>
              <w:rPr>
                <w:highlight w:val="white"/>
              </w:rPr>
              <w:t>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7000,0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Охотничье гладкоствольное ружье (из незаконного оборота), включая обрезы, сменные, вкладные стволы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4000,0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Огнестрельное оружие ограниченного поражения (из незаконного оборота)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5000,0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lastRenderedPageBreak/>
              <w:t xml:space="preserve">Газовое оружие самообороны (из </w:t>
            </w:r>
            <w:r>
              <w:rPr>
                <w:highlight w:val="white"/>
              </w:rPr>
              <w:t>незаконного оборота)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Охотничье оружие с нарезным стволом, хранящееся с нарушением действующего законодательства (просрочен разрешительный документ на оружие)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3000,0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Охотничье оружие с нарезным стволом малокалиберное калибра 5,6</w:t>
            </w:r>
            <w:r>
              <w:rPr>
                <w:highlight w:val="white"/>
              </w:rPr>
              <w:t xml:space="preserve"> (22 WMR), хранящееся с нарушением действующего законодательства (просрочен разрешительный документ на оружие)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3000,0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 xml:space="preserve">Охотничье оружие с нарезным стволом малокалиберное калибра 5,6 x 16 (22LR), хранящееся с нарушением действующего </w:t>
            </w:r>
            <w:r>
              <w:rPr>
                <w:highlight w:val="white"/>
              </w:rPr>
              <w:t>законодательства (просрочен разрешительный документ на оружие)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Охотничье гладкоствольное ружье, хранящееся с нарушением действующего законодательства (просрочен разрешительный документ на оружие)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Самодельное стреляющее у</w:t>
            </w:r>
            <w:r>
              <w:rPr>
                <w:highlight w:val="white"/>
              </w:rPr>
              <w:t>стройство (изделие, предназначенное для производства выстрела огнестрельным боеприпасом)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Армейское взрывчатое вещество: тротил, гексоген и другие взрывчатые вещества, включая изделия из них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100 граммов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Взрывчатое вещество промышле</w:t>
            </w:r>
            <w:r>
              <w:rPr>
                <w:highlight w:val="white"/>
              </w:rPr>
              <w:t xml:space="preserve">нного назначения типа: аммонит, </w:t>
            </w:r>
            <w:proofErr w:type="spellStart"/>
            <w:r>
              <w:rPr>
                <w:highlight w:val="white"/>
              </w:rPr>
              <w:t>угленит</w:t>
            </w:r>
            <w:proofErr w:type="spellEnd"/>
            <w:r>
              <w:rPr>
                <w:highlight w:val="white"/>
              </w:rPr>
              <w:t xml:space="preserve"> и других типов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100 граммов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600,0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Взрывное устройство - устройство, включающее в себя взрывчатое вещество и средство взрывания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100 граммов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800,0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Средство взрывания: электродетонатор, капсюль-детонатор, взрыватель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 xml:space="preserve">1 </w:t>
            </w:r>
            <w:r>
              <w:rPr>
                <w:highlight w:val="white"/>
              </w:rPr>
              <w:t>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Огнепроводные и электропроводные шнуры и другие аналогичные средства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метр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6,0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Штатный боеприпас - выстрелы к артиллерийскому и минометному, танковому, зенитному вооружению и авиационным пушкам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Выстрелы к РПГ-7, 7В и друг</w:t>
            </w:r>
            <w:r>
              <w:rPr>
                <w:highlight w:val="white"/>
              </w:rPr>
              <w:t>им конструкциям, в том числе к разобранным одноразовым гранатометам: РПГ-18 "Муха", РПГ-22 "</w:t>
            </w:r>
            <w:proofErr w:type="spellStart"/>
            <w:r>
              <w:rPr>
                <w:highlight w:val="white"/>
              </w:rPr>
              <w:t>Нетта</w:t>
            </w:r>
            <w:proofErr w:type="spellEnd"/>
            <w:r>
              <w:rPr>
                <w:highlight w:val="white"/>
              </w:rPr>
              <w:t>", РПГ-26 "</w:t>
            </w:r>
            <w:proofErr w:type="spellStart"/>
            <w:r>
              <w:rPr>
                <w:highlight w:val="white"/>
              </w:rPr>
              <w:t>Аглень</w:t>
            </w:r>
            <w:proofErr w:type="spellEnd"/>
            <w:r>
              <w:rPr>
                <w:highlight w:val="white"/>
              </w:rPr>
              <w:t>", РПГ-27 "Таволга", РПО-А "Шмель"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Управляемые противотанковые ракеты (ПТУР) типов: 9 м111 (для "Метис"), 9 м112 (для "Фагот</w:t>
            </w:r>
            <w:r>
              <w:rPr>
                <w:highlight w:val="white"/>
              </w:rPr>
              <w:t>"), 9 м113 (для "Конкурса") и танковые управляемые ракеты (ТУР) типов: 9 м112, 9 мП</w:t>
            </w:r>
            <w:proofErr w:type="gramStart"/>
            <w:r>
              <w:rPr>
                <w:highlight w:val="white"/>
              </w:rPr>
              <w:t>7</w:t>
            </w:r>
            <w:proofErr w:type="gramEnd"/>
            <w:r>
              <w:rPr>
                <w:highlight w:val="white"/>
              </w:rPr>
              <w:t>, 9 м119 и других аналогичных типов в пусковых контейнерах и без них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12000,0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Ракеты к переносным зенитно-ракетным комплексам (ПЗРК) типов: "Стрела-2", "Стрела-2М</w:t>
            </w:r>
            <w:r>
              <w:rPr>
                <w:highlight w:val="white"/>
              </w:rPr>
              <w:t>", "Игла" и другое аналогичное вооружение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6000,0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Огнемет типа РПО-А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4000,0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Выстрелы к гранатомету типов: ВОГ-ЗО, ВОГ-25, ВОГ-25П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Ручные гранаты типов: Ф-1, РГО, РГН, РКГ-ЗЕМ, РГ-42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3000,0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 xml:space="preserve">Саперные мины и </w:t>
            </w:r>
            <w:r>
              <w:rPr>
                <w:highlight w:val="white"/>
              </w:rPr>
              <w:t>специальные инженерные боеприпасы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lastRenderedPageBreak/>
              <w:t>Боеприпасы к нарезному оружию: боевые патроны калибра 5,45, 22WMR, 7,62 и более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6,0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Патроны калибра 22LR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Боеприпасы к гладкоствольному оружию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4,0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 xml:space="preserve">Огнестрельное оружие </w:t>
            </w:r>
            <w:r>
              <w:rPr>
                <w:highlight w:val="white"/>
              </w:rPr>
              <w:t>ограниченного поражения (просрочен разрешительный документ на оружие)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4000,0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Газовое оружие самообороны (просрочен разрешительный документ на оружие)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2000,0</w:t>
            </w:r>
          </w:p>
        </w:tc>
      </w:tr>
      <w:tr w:rsidR="006F4AB9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Метательные взрывчатые вещества (порох, твердое ракетное топливо и другие)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10</w:t>
            </w:r>
            <w:r>
              <w:rPr>
                <w:highlight w:val="white"/>
              </w:rPr>
              <w:t>0 граммов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60,0</w:t>
            </w:r>
          </w:p>
        </w:tc>
      </w:tr>
    </w:tbl>
    <w:p w:rsidR="006F4AB9" w:rsidRDefault="006F4AB9">
      <w:pPr>
        <w:pStyle w:val="ConsPlusNormal"/>
        <w:jc w:val="both"/>
      </w:pPr>
    </w:p>
    <w:sectPr w:rsidR="006F4AB9">
      <w:pgSz w:w="11906" w:h="16838"/>
      <w:pgMar w:top="841" w:right="595" w:bottom="841" w:left="59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B9"/>
    <w:rsid w:val="006F4AB9"/>
    <w:rsid w:val="00F5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Liberation Serif" w:cs="Liberation Serif"/>
      <w:sz w:val="24"/>
      <w:lang w:eastAsia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pacing w:before="120" w:after="120"/>
    </w:pPr>
    <w:rPr>
      <w:i/>
      <w:iCs/>
    </w:rPr>
  </w:style>
  <w:style w:type="paragraph" w:styleId="a7">
    <w:name w:val="index heading"/>
    <w:basedOn w:val="a"/>
    <w:qFormat/>
  </w:style>
  <w:style w:type="paragraph" w:customStyle="1" w:styleId="ConsPlusNormal">
    <w:name w:val="ConsPlusNormal"/>
    <w:qFormat/>
    <w:pPr>
      <w:widowControl w:val="0"/>
    </w:pPr>
    <w:rPr>
      <w:rFonts w:ascii="Times New Roman" w:eastAsia="Liberation Serif" w:hAnsi="Times New Roman" w:cs="Liberation Serif"/>
      <w:sz w:val="24"/>
      <w:lang w:eastAsia="hi-IN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Liberation Serif" w:hAnsi="Courier New" w:cs="Liberation Serif"/>
      <w:lang w:eastAsia="hi-IN"/>
    </w:rPr>
  </w:style>
  <w:style w:type="paragraph" w:customStyle="1" w:styleId="ConsPlusTitle">
    <w:name w:val="ConsPlusTitle"/>
    <w:qFormat/>
    <w:pPr>
      <w:widowControl w:val="0"/>
    </w:pPr>
    <w:rPr>
      <w:rFonts w:ascii="Arial" w:eastAsia="Liberation Serif" w:hAnsi="Arial" w:cs="Liberation Serif"/>
      <w:b/>
      <w:sz w:val="24"/>
      <w:lang w:eastAsia="hi-IN"/>
    </w:rPr>
  </w:style>
  <w:style w:type="paragraph" w:customStyle="1" w:styleId="ConsPlusCell">
    <w:name w:val="ConsPlusCell"/>
    <w:qFormat/>
    <w:pPr>
      <w:widowControl w:val="0"/>
    </w:pPr>
    <w:rPr>
      <w:rFonts w:ascii="Courier New" w:eastAsia="Liberation Serif" w:hAnsi="Courier New" w:cs="Liberation Serif"/>
      <w:lang w:eastAsia="hi-IN"/>
    </w:rPr>
  </w:style>
  <w:style w:type="paragraph" w:customStyle="1" w:styleId="ConsPlusDocList">
    <w:name w:val="ConsPlusDocList"/>
    <w:qFormat/>
    <w:pPr>
      <w:widowControl w:val="0"/>
    </w:pPr>
    <w:rPr>
      <w:rFonts w:ascii="Tahoma" w:eastAsia="Liberation Serif" w:hAnsi="Tahoma" w:cs="Liberation Serif"/>
      <w:sz w:val="18"/>
      <w:lang w:eastAsia="hi-IN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Liberation Serif" w:hAnsi="Tahoma" w:cs="Liberation Serif"/>
      <w:sz w:val="24"/>
      <w:lang w:eastAsia="hi-IN"/>
    </w:rPr>
  </w:style>
  <w:style w:type="paragraph" w:customStyle="1" w:styleId="ConsPlusJurTerm">
    <w:name w:val="ConsPlusJurTerm"/>
    <w:qFormat/>
    <w:pPr>
      <w:widowControl w:val="0"/>
    </w:pPr>
    <w:rPr>
      <w:rFonts w:ascii="Times New Roman" w:eastAsia="Liberation Serif" w:hAnsi="Times New Roman" w:cs="Liberation Serif"/>
      <w:sz w:val="24"/>
      <w:lang w:eastAsia="hi-IN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Liberation Serif" w:hAnsi="Times New Roman" w:cs="Liberation Serif"/>
      <w:sz w:val="24"/>
      <w:lang w:eastAsia="hi-IN"/>
    </w:rPr>
  </w:style>
  <w:style w:type="paragraph" w:customStyle="1" w:styleId="a8">
    <w:name w:val="Верхний и нижний колонтитулы"/>
    <w:basedOn w:val="a"/>
    <w:qFormat/>
  </w:style>
  <w:style w:type="paragraph" w:styleId="a9">
    <w:name w:val="header"/>
    <w:basedOn w:val="a8"/>
  </w:style>
  <w:style w:type="paragraph" w:styleId="aa">
    <w:name w:val="footer"/>
    <w:basedOn w:val="a8"/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Liberation Serif" w:cs="Liberation Serif"/>
      <w:sz w:val="24"/>
      <w:lang w:eastAsia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pacing w:before="120" w:after="120"/>
    </w:pPr>
    <w:rPr>
      <w:i/>
      <w:iCs/>
    </w:rPr>
  </w:style>
  <w:style w:type="paragraph" w:styleId="a7">
    <w:name w:val="index heading"/>
    <w:basedOn w:val="a"/>
    <w:qFormat/>
  </w:style>
  <w:style w:type="paragraph" w:customStyle="1" w:styleId="ConsPlusNormal">
    <w:name w:val="ConsPlusNormal"/>
    <w:qFormat/>
    <w:pPr>
      <w:widowControl w:val="0"/>
    </w:pPr>
    <w:rPr>
      <w:rFonts w:ascii="Times New Roman" w:eastAsia="Liberation Serif" w:hAnsi="Times New Roman" w:cs="Liberation Serif"/>
      <w:sz w:val="24"/>
      <w:lang w:eastAsia="hi-IN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Liberation Serif" w:hAnsi="Courier New" w:cs="Liberation Serif"/>
      <w:lang w:eastAsia="hi-IN"/>
    </w:rPr>
  </w:style>
  <w:style w:type="paragraph" w:customStyle="1" w:styleId="ConsPlusTitle">
    <w:name w:val="ConsPlusTitle"/>
    <w:qFormat/>
    <w:pPr>
      <w:widowControl w:val="0"/>
    </w:pPr>
    <w:rPr>
      <w:rFonts w:ascii="Arial" w:eastAsia="Liberation Serif" w:hAnsi="Arial" w:cs="Liberation Serif"/>
      <w:b/>
      <w:sz w:val="24"/>
      <w:lang w:eastAsia="hi-IN"/>
    </w:rPr>
  </w:style>
  <w:style w:type="paragraph" w:customStyle="1" w:styleId="ConsPlusCell">
    <w:name w:val="ConsPlusCell"/>
    <w:qFormat/>
    <w:pPr>
      <w:widowControl w:val="0"/>
    </w:pPr>
    <w:rPr>
      <w:rFonts w:ascii="Courier New" w:eastAsia="Liberation Serif" w:hAnsi="Courier New" w:cs="Liberation Serif"/>
      <w:lang w:eastAsia="hi-IN"/>
    </w:rPr>
  </w:style>
  <w:style w:type="paragraph" w:customStyle="1" w:styleId="ConsPlusDocList">
    <w:name w:val="ConsPlusDocList"/>
    <w:qFormat/>
    <w:pPr>
      <w:widowControl w:val="0"/>
    </w:pPr>
    <w:rPr>
      <w:rFonts w:ascii="Tahoma" w:eastAsia="Liberation Serif" w:hAnsi="Tahoma" w:cs="Liberation Serif"/>
      <w:sz w:val="18"/>
      <w:lang w:eastAsia="hi-IN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Liberation Serif" w:hAnsi="Tahoma" w:cs="Liberation Serif"/>
      <w:sz w:val="24"/>
      <w:lang w:eastAsia="hi-IN"/>
    </w:rPr>
  </w:style>
  <w:style w:type="paragraph" w:customStyle="1" w:styleId="ConsPlusJurTerm">
    <w:name w:val="ConsPlusJurTerm"/>
    <w:qFormat/>
    <w:pPr>
      <w:widowControl w:val="0"/>
    </w:pPr>
    <w:rPr>
      <w:rFonts w:ascii="Times New Roman" w:eastAsia="Liberation Serif" w:hAnsi="Times New Roman" w:cs="Liberation Serif"/>
      <w:sz w:val="24"/>
      <w:lang w:eastAsia="hi-IN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Liberation Serif" w:hAnsi="Times New Roman" w:cs="Liberation Serif"/>
      <w:sz w:val="24"/>
      <w:lang w:eastAsia="hi-IN"/>
    </w:rPr>
  </w:style>
  <w:style w:type="paragraph" w:customStyle="1" w:styleId="a8">
    <w:name w:val="Верхний и нижний колонтитулы"/>
    <w:basedOn w:val="a"/>
    <w:qFormat/>
  </w:style>
  <w:style w:type="paragraph" w:styleId="a9">
    <w:name w:val="header"/>
    <w:basedOn w:val="a8"/>
  </w:style>
  <w:style w:type="paragraph" w:styleId="aa">
    <w:name w:val="footer"/>
    <w:basedOn w:val="a8"/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Челябинской области от 20.02.2020 N 51-П(ред. от 19.03.2020)"О Порядке проведения в 2020 - 2025 годах операции "Оружие" по добровольной сдаче гражданами незаконно хранящихся оружия, боеприпасов и взрывчатых веществ"(вместе с "П</vt:lpstr>
    </vt:vector>
  </TitlesOfParts>
  <Company>КонсультантПлюс Версия 4021.00.20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Челябинской области от 20.02.2020 N 51-П(ред. от 19.03.2020)"О Порядке проведения в 2020 - 2025 годах операции "Оружие" по добровольной сдаче гражданами незаконно хранящихся оружия, боеприпасов и взрывчатых веществ"(вместе с "Порядком проведения в 2020 - 2025 годах операции "Оружие" по добровольной сдаче гражданами незаконно хранящихся оружия, боеприпасов и взрывчатых веществ")</dc:title>
  <dc:creator>Стышнов Олег Валерьевич</dc:creator>
  <cp:lastModifiedBy>Стышнов Олег Валерьевич</cp:lastModifiedBy>
  <cp:revision>2</cp:revision>
  <dcterms:created xsi:type="dcterms:W3CDTF">2024-04-24T07:49:00Z</dcterms:created>
  <dcterms:modified xsi:type="dcterms:W3CDTF">2024-04-24T07:49:00Z</dcterms:modified>
  <dc:language>ru-RU</dc:language>
</cp:coreProperties>
</file>